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rPr>
          <w:rFonts w:ascii="华文中宋" w:eastAsia="华文中宋" w:cs="华文中宋"/>
          <w:color w:val="000000"/>
          <w:kern w:val="0"/>
          <w:sz w:val="28"/>
          <w:szCs w:val="28"/>
          <w:lang w:val="zh-CN"/>
        </w:rPr>
      </w:pPr>
    </w:p>
    <w:p>
      <w:pPr>
        <w:rPr>
          <w:rFonts w:hint="eastAsia" w:ascii="华文中宋" w:eastAsia="华文中宋" w:cs="华文中宋"/>
          <w:color w:val="000000"/>
          <w:kern w:val="0"/>
          <w:sz w:val="28"/>
          <w:szCs w:val="28"/>
          <w:lang w:val="zh-CN"/>
        </w:rPr>
      </w:pPr>
    </w:p>
    <w:p>
      <w:pPr>
        <w:rPr>
          <w:rFonts w:hint="eastAsia" w:ascii="华文中宋" w:eastAsia="华文中宋" w:cs="华文中宋"/>
          <w:color w:val="000000"/>
          <w:kern w:val="0"/>
          <w:sz w:val="28"/>
          <w:szCs w:val="28"/>
          <w:lang w:val="zh-CN"/>
        </w:rPr>
      </w:pPr>
    </w:p>
    <w:p>
      <w:pPr>
        <w:autoSpaceDE w:val="0"/>
        <w:autoSpaceDN w:val="0"/>
        <w:adjustRightInd w:val="0"/>
        <w:spacing w:line="700" w:lineRule="exact"/>
        <w:jc w:val="center"/>
        <w:textAlignment w:val="center"/>
        <w:rPr>
          <w:rFonts w:ascii="华文中宋" w:hAnsi="华文中宋" w:eastAsia="华文中宋" w:cs="方正大标宋简体"/>
          <w:b/>
          <w:color w:val="000000"/>
          <w:kern w:val="0"/>
          <w:sz w:val="44"/>
          <w:szCs w:val="44"/>
          <w:lang w:val="zh-CN"/>
        </w:rPr>
      </w:pPr>
      <w:r>
        <w:rPr>
          <w:rFonts w:ascii="华文中宋" w:hAnsi="华文中宋" w:eastAsia="华文中宋" w:cs="方正大标宋简体"/>
          <w:b/>
          <w:color w:val="000000"/>
          <w:kern w:val="0"/>
          <w:sz w:val="44"/>
          <w:szCs w:val="44"/>
          <w:lang w:val="zh-CN"/>
        </w:rPr>
        <w:t>2015</w:t>
      </w:r>
      <w:r>
        <w:rPr>
          <w:rFonts w:hint="eastAsia" w:ascii="华文中宋" w:hAnsi="华文中宋" w:eastAsia="华文中宋" w:cs="方正大标宋简体"/>
          <w:b/>
          <w:color w:val="000000"/>
          <w:kern w:val="0"/>
          <w:sz w:val="44"/>
          <w:szCs w:val="44"/>
          <w:lang w:val="zh-CN"/>
        </w:rPr>
        <w:t>版上海高校文明单位（和谐校园）</w:t>
      </w:r>
    </w:p>
    <w:p>
      <w:pPr>
        <w:spacing w:line="700" w:lineRule="exact"/>
        <w:jc w:val="center"/>
        <w:rPr>
          <w:rFonts w:hint="eastAsia" w:ascii="华文中宋" w:hAnsi="华文中宋" w:eastAsia="华文中宋" w:cs="方正大标宋简体"/>
          <w:b/>
          <w:color w:val="000000"/>
          <w:kern w:val="0"/>
          <w:sz w:val="44"/>
          <w:szCs w:val="44"/>
          <w:lang w:val="zh-CN"/>
        </w:rPr>
      </w:pPr>
      <w:r>
        <w:rPr>
          <w:rFonts w:hint="eastAsia" w:ascii="华文中宋" w:hAnsi="华文中宋" w:eastAsia="华文中宋" w:cs="方正大标宋简体"/>
          <w:b/>
          <w:color w:val="000000"/>
          <w:kern w:val="0"/>
          <w:sz w:val="44"/>
          <w:szCs w:val="44"/>
          <w:lang w:val="zh-CN"/>
        </w:rPr>
        <w:t>创建评价指标体系</w:t>
      </w:r>
    </w:p>
    <w:p>
      <w:pPr>
        <w:spacing w:line="700" w:lineRule="exact"/>
        <w:jc w:val="center"/>
        <w:rPr>
          <w:rFonts w:hint="eastAsia" w:ascii="华文中宋" w:hAnsi="华文中宋" w:eastAsia="华文中宋" w:cs="方正大标宋简体"/>
          <w:b/>
          <w:color w:val="000000"/>
          <w:kern w:val="0"/>
          <w:sz w:val="44"/>
          <w:szCs w:val="44"/>
          <w:lang w:val="en-US" w:eastAsia="zh-CN"/>
        </w:rPr>
      </w:pPr>
      <w:r>
        <w:rPr>
          <w:rFonts w:hint="eastAsia" w:ascii="华文中宋" w:hAnsi="华文中宋" w:eastAsia="华文中宋" w:cs="方正大标宋简体"/>
          <w:b/>
          <w:color w:val="000000"/>
          <w:kern w:val="0"/>
          <w:sz w:val="44"/>
          <w:szCs w:val="44"/>
          <w:lang w:val="en-US" w:eastAsia="zh-CN"/>
        </w:rPr>
        <w:t>任务分解</w:t>
      </w:r>
    </w:p>
    <w:p>
      <w:pPr>
        <w:widowControl/>
        <w:jc w:val="left"/>
        <w:rPr>
          <w:rFonts w:ascii="方正大标宋简体" w:eastAsia="方正大标宋简体" w:cs="方正大标宋简体"/>
          <w:color w:val="000000"/>
          <w:kern w:val="0"/>
          <w:sz w:val="44"/>
          <w:szCs w:val="44"/>
          <w:lang w:val="zh-CN"/>
        </w:rPr>
      </w:pPr>
      <w:r>
        <w:rPr>
          <w:rFonts w:ascii="方正大标宋简体" w:eastAsia="方正大标宋简体" w:cs="方正大标宋简体"/>
          <w:color w:val="000000"/>
          <w:kern w:val="0"/>
          <w:sz w:val="44"/>
          <w:szCs w:val="44"/>
          <w:lang w:val="zh-CN"/>
        </w:rPr>
        <w:br w:type="page"/>
      </w:r>
    </w:p>
    <w:p>
      <w:pPr>
        <w:autoSpaceDE w:val="0"/>
        <w:autoSpaceDN w:val="0"/>
        <w:adjustRightInd w:val="0"/>
        <w:spacing w:after="170" w:line="460" w:lineRule="exact"/>
        <w:jc w:val="center"/>
        <w:textAlignment w:val="center"/>
        <w:rPr>
          <w:rFonts w:hint="eastAsia" w:ascii="黑体" w:hAnsi="黑体" w:eastAsia="黑体" w:cs="方正黑体简体"/>
          <w:color w:val="000000"/>
          <w:kern w:val="0"/>
          <w:sz w:val="28"/>
          <w:szCs w:val="28"/>
          <w:lang w:val="zh-CN"/>
        </w:rPr>
      </w:pPr>
      <w:r>
        <w:rPr>
          <w:rFonts w:hint="eastAsia" w:ascii="黑体" w:hAnsi="黑体" w:eastAsia="黑体" w:cs="方正黑体简体"/>
          <w:color w:val="000000"/>
          <w:kern w:val="0"/>
          <w:sz w:val="28"/>
          <w:szCs w:val="28"/>
          <w:lang w:val="zh-CN"/>
        </w:rPr>
        <w:t>一、基本指标（90分）</w:t>
      </w:r>
    </w:p>
    <w:tbl>
      <w:tblPr>
        <w:tblStyle w:val="6"/>
        <w:tblW w:w="10840" w:type="dxa"/>
        <w:tblInd w:w="0" w:type="dxa"/>
        <w:tblLayout w:type="fixed"/>
        <w:tblCellMar>
          <w:top w:w="0" w:type="dxa"/>
          <w:left w:w="0" w:type="dxa"/>
          <w:bottom w:w="0" w:type="dxa"/>
          <w:right w:w="0" w:type="dxa"/>
        </w:tblCellMar>
      </w:tblPr>
      <w:tblGrid>
        <w:gridCol w:w="893"/>
        <w:gridCol w:w="919"/>
        <w:gridCol w:w="6355"/>
        <w:gridCol w:w="891"/>
        <w:gridCol w:w="891"/>
        <w:gridCol w:w="891"/>
      </w:tblGrid>
      <w:tr>
        <w:tblPrEx>
          <w:tblLayout w:type="fixed"/>
          <w:tblCellMar>
            <w:top w:w="0" w:type="dxa"/>
            <w:left w:w="0" w:type="dxa"/>
            <w:bottom w:w="0" w:type="dxa"/>
            <w:right w:w="0" w:type="dxa"/>
          </w:tblCellMar>
        </w:tblPrEx>
        <w:trPr>
          <w:trHeight w:val="283" w:hRule="atLeast"/>
          <w:tblHeader/>
        </w:trPr>
        <w:tc>
          <w:tcPr>
            <w:tcW w:w="893"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黑体" w:hAnsi="黑体" w:eastAsia="黑体" w:cs="方正黑体简体"/>
                <w:b w:val="0"/>
                <w:bCs w:val="0"/>
                <w:color w:val="000000"/>
                <w:kern w:val="0"/>
                <w:sz w:val="21"/>
                <w:szCs w:val="21"/>
                <w:lang w:val="zh-CN"/>
              </w:rPr>
            </w:pPr>
            <w:r>
              <w:rPr>
                <w:rFonts w:hint="eastAsia" w:ascii="黑体" w:hAnsi="黑体" w:eastAsia="黑体" w:cs="方正黑体简体"/>
                <w:b w:val="0"/>
                <w:bCs w:val="0"/>
                <w:color w:val="000000"/>
                <w:kern w:val="0"/>
                <w:sz w:val="21"/>
                <w:szCs w:val="21"/>
                <w:lang w:val="zh-CN"/>
              </w:rPr>
              <w:t>一级指标</w:t>
            </w:r>
          </w:p>
        </w:tc>
        <w:tc>
          <w:tcPr>
            <w:tcW w:w="919"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黑体" w:hAnsi="黑体" w:eastAsia="黑体" w:cs="方正黑体简体"/>
                <w:b w:val="0"/>
                <w:bCs w:val="0"/>
                <w:color w:val="000000"/>
                <w:kern w:val="0"/>
                <w:sz w:val="21"/>
                <w:szCs w:val="21"/>
                <w:lang w:val="zh-CN"/>
              </w:rPr>
            </w:pPr>
            <w:r>
              <w:rPr>
                <w:rFonts w:hint="eastAsia" w:ascii="黑体" w:hAnsi="黑体" w:eastAsia="黑体" w:cs="方正黑体简体"/>
                <w:b w:val="0"/>
                <w:bCs w:val="0"/>
                <w:color w:val="000000"/>
                <w:kern w:val="0"/>
                <w:sz w:val="21"/>
                <w:szCs w:val="21"/>
                <w:lang w:val="zh-CN"/>
              </w:rPr>
              <w:t>二级指标</w:t>
            </w:r>
          </w:p>
        </w:tc>
        <w:tc>
          <w:tcPr>
            <w:tcW w:w="6355" w:type="dxa"/>
            <w:tcBorders>
              <w:top w:val="single" w:color="000000" w:sz="2" w:space="0"/>
              <w:left w:val="single" w:color="000000" w:sz="2" w:space="0"/>
              <w:bottom w:val="single" w:color="000000" w:sz="2" w:space="0"/>
              <w:right w:val="single" w:color="000000" w:sz="2" w:space="0"/>
            </w:tcBorders>
            <w:tcMar>
              <w:top w:w="113" w:type="dxa"/>
              <w:left w:w="113" w:type="dxa"/>
              <w:bottom w:w="113" w:type="dxa"/>
              <w:right w:w="113" w:type="dxa"/>
            </w:tcMar>
            <w:vAlign w:val="center"/>
          </w:tcPr>
          <w:p>
            <w:pPr>
              <w:autoSpaceDE w:val="0"/>
              <w:autoSpaceDN w:val="0"/>
              <w:adjustRightInd w:val="0"/>
              <w:spacing w:line="240" w:lineRule="exact"/>
              <w:jc w:val="center"/>
              <w:textAlignment w:val="center"/>
              <w:rPr>
                <w:rFonts w:hint="eastAsia" w:ascii="黑体" w:hAnsi="黑体" w:eastAsia="黑体" w:cs="方正黑体简体"/>
                <w:b w:val="0"/>
                <w:bCs w:val="0"/>
                <w:color w:val="000000"/>
                <w:kern w:val="0"/>
                <w:sz w:val="21"/>
                <w:szCs w:val="21"/>
                <w:lang w:val="zh-CN"/>
              </w:rPr>
            </w:pPr>
            <w:r>
              <w:rPr>
                <w:rFonts w:hint="eastAsia" w:ascii="黑体" w:hAnsi="黑体" w:eastAsia="黑体" w:cs="方正黑体简体"/>
                <w:b w:val="0"/>
                <w:bCs w:val="0"/>
                <w:color w:val="000000"/>
                <w:kern w:val="0"/>
                <w:sz w:val="21"/>
                <w:szCs w:val="21"/>
                <w:lang w:val="zh-CN"/>
              </w:rPr>
              <w:t>评价标准</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textDirection w:val="lrTb"/>
            <w:vAlign w:val="center"/>
          </w:tcPr>
          <w:p>
            <w:pPr>
              <w:widowControl/>
              <w:jc w:val="center"/>
              <w:rPr>
                <w:rFonts w:hint="eastAsia" w:ascii="黑体" w:hAnsi="黑体" w:eastAsia="黑体" w:cs="方正黑体简体"/>
                <w:b w:val="0"/>
                <w:bCs w:val="0"/>
                <w:color w:val="000000"/>
                <w:kern w:val="0"/>
                <w:sz w:val="21"/>
                <w:szCs w:val="21"/>
                <w:lang w:val="zh-CN"/>
              </w:rPr>
            </w:pPr>
            <w:r>
              <w:rPr>
                <w:rFonts w:hint="eastAsia" w:ascii="黑体" w:hAnsi="宋体" w:eastAsia="黑体" w:cs="宋体"/>
                <w:b w:val="0"/>
                <w:bCs w:val="0"/>
                <w:kern w:val="0"/>
                <w:sz w:val="21"/>
                <w:szCs w:val="21"/>
              </w:rPr>
              <w:t>评审说明</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textDirection w:val="lrTb"/>
            <w:vAlign w:val="center"/>
          </w:tcPr>
          <w:p>
            <w:pPr>
              <w:widowControl/>
              <w:jc w:val="center"/>
              <w:rPr>
                <w:rFonts w:hint="eastAsia" w:ascii="黑体" w:hAnsi="黑体" w:eastAsia="黑体" w:cs="方正黑体简体"/>
                <w:b w:val="0"/>
                <w:bCs w:val="0"/>
                <w:color w:val="000000"/>
                <w:kern w:val="0"/>
                <w:sz w:val="21"/>
                <w:szCs w:val="21"/>
                <w:lang w:val="zh-CN"/>
              </w:rPr>
            </w:pPr>
            <w:r>
              <w:rPr>
                <w:rFonts w:hint="eastAsia" w:ascii="黑体" w:hAnsi="宋体" w:eastAsia="黑体" w:cs="宋体"/>
                <w:b w:val="0"/>
                <w:bCs w:val="0"/>
                <w:kern w:val="0"/>
                <w:sz w:val="21"/>
                <w:szCs w:val="21"/>
              </w:rPr>
              <w:t>负责部门</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textDirection w:val="lrTb"/>
            <w:vAlign w:val="center"/>
          </w:tcPr>
          <w:p>
            <w:pPr>
              <w:widowControl/>
              <w:jc w:val="center"/>
              <w:rPr>
                <w:rFonts w:hint="eastAsia" w:ascii="黑体" w:hAnsi="黑体" w:eastAsia="黑体" w:cs="方正黑体简体"/>
                <w:b w:val="0"/>
                <w:bCs w:val="0"/>
                <w:color w:val="000000"/>
                <w:kern w:val="0"/>
                <w:sz w:val="21"/>
                <w:szCs w:val="21"/>
                <w:lang w:val="zh-CN"/>
              </w:rPr>
            </w:pPr>
            <w:r>
              <w:rPr>
                <w:rFonts w:hint="eastAsia" w:ascii="黑体" w:hAnsi="宋体" w:eastAsia="黑体" w:cs="宋体"/>
                <w:b w:val="0"/>
                <w:bCs w:val="0"/>
                <w:kern w:val="0"/>
                <w:sz w:val="21"/>
                <w:szCs w:val="21"/>
              </w:rPr>
              <w:t>配合部门</w:t>
            </w:r>
          </w:p>
        </w:tc>
      </w:tr>
      <w:tr>
        <w:tblPrEx>
          <w:tblLayout w:type="fixed"/>
          <w:tblCellMar>
            <w:top w:w="0" w:type="dxa"/>
            <w:left w:w="0" w:type="dxa"/>
            <w:bottom w:w="0" w:type="dxa"/>
            <w:right w:w="0" w:type="dxa"/>
          </w:tblCellMar>
        </w:tblPrEx>
        <w:trPr>
          <w:trHeight w:val="137" w:hRule="atLeast"/>
        </w:trPr>
        <w:tc>
          <w:tcPr>
            <w:tcW w:w="893"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1</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思想教育</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深入</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师生素质</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提升</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（19分）</w:t>
            </w: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1-1</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政治学习</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（3分）</w:t>
            </w:r>
          </w:p>
        </w:tc>
        <w:tc>
          <w:tcPr>
            <w:tcW w:w="6355" w:type="dxa"/>
            <w:tcBorders>
              <w:top w:val="single" w:color="000000" w:sz="2" w:space="0"/>
              <w:left w:val="single" w:color="000000" w:sz="2" w:space="0"/>
              <w:bottom w:val="single" w:color="000000" w:sz="2" w:space="0"/>
              <w:right w:val="single" w:color="000000" w:sz="2" w:space="0"/>
            </w:tcBorders>
            <w:tcMar>
              <w:top w:w="122" w:type="dxa"/>
              <w:left w:w="113" w:type="dxa"/>
              <w:bottom w:w="122"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1.制定学习贯彻党的十八大以来中央、市委重要精神和习近平同志系列重要讲话精神，培育和践行社会主义核心价值观的工作计划，及时部署最新学习内容。（1分）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宣传部</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p>
        </w:tc>
      </w:tr>
      <w:tr>
        <w:tblPrEx>
          <w:tblLayout w:type="fixed"/>
          <w:tblCellMar>
            <w:top w:w="0" w:type="dxa"/>
            <w:left w:w="0" w:type="dxa"/>
            <w:bottom w:w="0" w:type="dxa"/>
            <w:right w:w="0" w:type="dxa"/>
          </w:tblCellMar>
        </w:tblPrEx>
        <w:trPr>
          <w:trHeight w:val="180"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22" w:type="dxa"/>
              <w:left w:w="113" w:type="dxa"/>
              <w:bottom w:w="122"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2.党委中心组学习每月一次，有制度、有计划、有主题、有考勤、有记录、有成果，领导干部有述职述学。（1分）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宣传部</w:t>
            </w:r>
          </w:p>
        </w:tc>
        <w:tc>
          <w:tcPr>
            <w:tcW w:w="891" w:type="dxa"/>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center"/>
              <w:rPr>
                <w:rFonts w:hint="eastAsia" w:ascii="楷体" w:hAnsi="楷体" w:eastAsia="楷体"/>
                <w:kern w:val="0"/>
                <w:sz w:val="21"/>
                <w:szCs w:val="21"/>
                <w:lang w:val="en-US" w:eastAsia="zh-CN"/>
              </w:rPr>
            </w:pPr>
          </w:p>
        </w:tc>
      </w:tr>
      <w:tr>
        <w:tblPrEx>
          <w:tblLayout w:type="fixed"/>
          <w:tblCellMar>
            <w:top w:w="0" w:type="dxa"/>
            <w:left w:w="0" w:type="dxa"/>
            <w:bottom w:w="0" w:type="dxa"/>
            <w:right w:w="0" w:type="dxa"/>
          </w:tblCellMar>
        </w:tblPrEx>
        <w:trPr>
          <w:trHeight w:val="20"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22" w:type="dxa"/>
              <w:left w:w="113" w:type="dxa"/>
              <w:bottom w:w="122"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spacing w:val="-9"/>
                <w:kern w:val="0"/>
                <w:sz w:val="21"/>
                <w:szCs w:val="21"/>
                <w:lang w:val="zh-CN"/>
              </w:rPr>
              <w:t>3.教职工学习每月一次，有制度、有计划，内容丰富，形式多样。（1分）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r>
              <w:rPr>
                <w:rFonts w:hint="eastAsia" w:ascii="楷体" w:hAnsi="楷体" w:eastAsia="楷体"/>
                <w:kern w:val="0"/>
                <w:sz w:val="21"/>
                <w:szCs w:val="21"/>
                <w:lang w:eastAsia="zh-CN"/>
              </w:rPr>
              <w:t>宣传部</w:t>
            </w:r>
          </w:p>
        </w:tc>
        <w:tc>
          <w:tcPr>
            <w:tcW w:w="891" w:type="dxa"/>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center"/>
              <w:rPr>
                <w:rFonts w:hint="eastAsia" w:ascii="楷体" w:hAnsi="楷体" w:eastAsia="楷体"/>
                <w:kern w:val="0"/>
                <w:sz w:val="21"/>
                <w:szCs w:val="21"/>
              </w:rPr>
            </w:pPr>
            <w:r>
              <w:rPr>
                <w:rFonts w:hint="eastAsia" w:ascii="楷体" w:hAnsi="楷体" w:eastAsia="楷体"/>
                <w:kern w:val="0"/>
                <w:sz w:val="21"/>
                <w:szCs w:val="21"/>
                <w:lang w:val="en-US" w:eastAsia="zh-CN"/>
              </w:rPr>
              <w:t>各党总支、直属党支部</w:t>
            </w:r>
          </w:p>
        </w:tc>
      </w:tr>
      <w:tr>
        <w:tblPrEx>
          <w:tblLayout w:type="fixed"/>
          <w:tblCellMar>
            <w:top w:w="0" w:type="dxa"/>
            <w:left w:w="0" w:type="dxa"/>
            <w:bottom w:w="0" w:type="dxa"/>
            <w:right w:w="0" w:type="dxa"/>
          </w:tblCellMar>
        </w:tblPrEx>
        <w:trPr>
          <w:trHeight w:val="649"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rPr>
            </w:pPr>
            <w:r>
              <w:rPr>
                <w:rFonts w:hint="eastAsia" w:ascii="楷体" w:hAnsi="楷体" w:eastAsia="楷体" w:cs="方正楷体简体"/>
                <w:color w:val="000000"/>
                <w:kern w:val="0"/>
                <w:sz w:val="21"/>
                <w:szCs w:val="21"/>
                <w:lang w:val="zh-CN"/>
              </w:rPr>
              <w:t>1-2</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rPr>
            </w:pPr>
            <w:r>
              <w:rPr>
                <w:rFonts w:hint="eastAsia" w:ascii="楷体" w:hAnsi="楷体" w:eastAsia="楷体" w:cs="方正楷体简体"/>
                <w:color w:val="000000"/>
                <w:kern w:val="0"/>
                <w:sz w:val="21"/>
                <w:szCs w:val="21"/>
                <w:lang w:val="zh-CN"/>
              </w:rPr>
              <w:t>理论教育</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（6分）</w:t>
            </w:r>
          </w:p>
        </w:tc>
        <w:tc>
          <w:tcPr>
            <w:tcW w:w="6355" w:type="dxa"/>
            <w:tcBorders>
              <w:top w:val="single" w:color="000000" w:sz="2" w:space="0"/>
              <w:left w:val="single" w:color="000000" w:sz="2" w:space="0"/>
              <w:bottom w:val="single" w:color="000000" w:sz="2" w:space="0"/>
              <w:right w:val="single" w:color="000000" w:sz="2" w:space="0"/>
            </w:tcBorders>
            <w:tcMar>
              <w:top w:w="122" w:type="dxa"/>
              <w:left w:w="113" w:type="dxa"/>
              <w:bottom w:w="122"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4.规范思想政治理论课各门课程设置和教学管理。学校重点建设思政课，思政课教学改革有显著成果。独立设置直属学校领导的、与二级院（系）行政同级的思政课教学科研组织机构。（2分）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4、6根据条件现场观摩</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思政部</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en-US" w:eastAsia="zh-CN"/>
              </w:rPr>
            </w:pPr>
            <w:r>
              <w:rPr>
                <w:rFonts w:hint="eastAsia" w:ascii="楷体" w:hAnsi="楷体" w:eastAsia="楷体" w:cs="方正楷体简体"/>
                <w:color w:val="000000"/>
                <w:kern w:val="0"/>
                <w:sz w:val="21"/>
                <w:szCs w:val="21"/>
                <w:lang w:val="en-US" w:eastAsia="zh-CN"/>
              </w:rPr>
              <w:t>教务处、人事处</w:t>
            </w:r>
          </w:p>
        </w:tc>
      </w:tr>
      <w:tr>
        <w:tblPrEx>
          <w:tblLayout w:type="fixed"/>
          <w:tblCellMar>
            <w:top w:w="0" w:type="dxa"/>
            <w:left w:w="0" w:type="dxa"/>
            <w:bottom w:w="0" w:type="dxa"/>
            <w:right w:w="0" w:type="dxa"/>
          </w:tblCellMar>
        </w:tblPrEx>
        <w:trPr>
          <w:trHeight w:val="300"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22" w:type="dxa"/>
              <w:left w:w="113" w:type="dxa"/>
              <w:bottom w:w="122"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5.专业课尤其是哲学社会科学课堂教学坚持正确政治导向，发挥专业课程的育人功能。综合性和哲学社会科学学科较强的高校重点建设马克思主义学科，形成马克思主义指导的学科、课程和教材体系。（2分）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r>
              <w:rPr>
                <w:rFonts w:hint="eastAsia" w:ascii="楷体" w:hAnsi="楷体" w:eastAsia="楷体" w:cs="方正楷体简体"/>
                <w:color w:val="000000"/>
                <w:kern w:val="0"/>
                <w:sz w:val="21"/>
                <w:szCs w:val="21"/>
                <w:lang w:val="zh-CN"/>
              </w:rPr>
              <w:t>思政部</w:t>
            </w:r>
          </w:p>
        </w:tc>
        <w:tc>
          <w:tcPr>
            <w:tcW w:w="891" w:type="dxa"/>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r>
      <w:tr>
        <w:tblPrEx>
          <w:tblLayout w:type="fixed"/>
          <w:tblCellMar>
            <w:top w:w="0" w:type="dxa"/>
            <w:left w:w="0" w:type="dxa"/>
            <w:bottom w:w="0" w:type="dxa"/>
            <w:right w:w="0" w:type="dxa"/>
          </w:tblCellMar>
        </w:tblPrEx>
        <w:trPr>
          <w:trHeight w:val="216"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22" w:type="dxa"/>
              <w:left w:w="113" w:type="dxa"/>
              <w:bottom w:w="122"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6.在社团活动、社会实践、网络宣传等日常思想政治教育中开展形式多样的社会主义核心价值观教育。（1分）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团委</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思政部、宣传部、</w:t>
            </w:r>
            <w:r>
              <w:rPr>
                <w:rFonts w:hint="eastAsia" w:ascii="楷体" w:hAnsi="楷体" w:eastAsia="楷体"/>
                <w:kern w:val="0"/>
                <w:sz w:val="21"/>
                <w:szCs w:val="21"/>
                <w:lang w:val="en-US" w:eastAsia="zh-CN"/>
              </w:rPr>
              <w:t>学工部、各二级学院</w:t>
            </w:r>
          </w:p>
        </w:tc>
      </w:tr>
      <w:tr>
        <w:tblPrEx>
          <w:tblLayout w:type="fixed"/>
          <w:tblCellMar>
            <w:top w:w="0" w:type="dxa"/>
            <w:left w:w="0" w:type="dxa"/>
            <w:bottom w:w="0" w:type="dxa"/>
            <w:right w:w="0" w:type="dxa"/>
          </w:tblCellMar>
        </w:tblPrEx>
        <w:trPr>
          <w:trHeight w:val="496"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22" w:type="dxa"/>
              <w:left w:w="113" w:type="dxa"/>
              <w:bottom w:w="122"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7.定期开展干部师生思想调研，有条件的高校开展学术研究和社会思潮中的意识形态动向分析，及时把握思想理论教育热点难点，提高思想政治教育有效性。（1分）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组织部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val="en-US" w:eastAsia="zh-CN"/>
              </w:rPr>
              <w:t>宣传部、工会、学工部、思政部</w:t>
            </w:r>
          </w:p>
        </w:tc>
      </w:tr>
      <w:tr>
        <w:tblPrEx>
          <w:tblLayout w:type="fixed"/>
          <w:tblCellMar>
            <w:top w:w="0" w:type="dxa"/>
            <w:left w:w="0" w:type="dxa"/>
            <w:bottom w:w="0" w:type="dxa"/>
            <w:right w:w="0" w:type="dxa"/>
          </w:tblCellMar>
        </w:tblPrEx>
        <w:trPr>
          <w:trHeight w:val="283" w:hRule="atLeast"/>
        </w:trPr>
        <w:tc>
          <w:tcPr>
            <w:tcW w:w="893"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1</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思想教育</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深入</w:t>
            </w:r>
            <w:r>
              <w:rPr>
                <w:rFonts w:hint="eastAsia" w:ascii="楷体" w:hAnsi="楷体" w:eastAsia="楷体" w:cs="微软雅黑"/>
                <w:color w:val="000000"/>
                <w:kern w:val="0"/>
                <w:sz w:val="21"/>
                <w:szCs w:val="21"/>
                <w:lang w:val="zh-CN"/>
              </w:rPr>
              <w:br w:type="textWrapping"/>
            </w:r>
            <w:r>
              <w:rPr>
                <w:rFonts w:hint="eastAsia" w:ascii="楷体" w:hAnsi="楷体" w:eastAsia="楷体" w:cs="微软雅黑"/>
                <w:color w:val="000000"/>
                <w:kern w:val="0"/>
                <w:sz w:val="21"/>
                <w:szCs w:val="21"/>
                <w:lang w:val="zh-CN"/>
              </w:rPr>
              <w:t>师生素质</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提升</w:t>
            </w:r>
            <w:r>
              <w:rPr>
                <w:rFonts w:hint="eastAsia" w:ascii="楷体" w:hAnsi="楷体" w:eastAsia="楷体" w:cs="微软雅黑"/>
                <w:color w:val="000000"/>
                <w:kern w:val="0"/>
                <w:sz w:val="21"/>
                <w:szCs w:val="21"/>
                <w:lang w:val="zh-CN"/>
              </w:rPr>
              <w:br w:type="textWrapping"/>
            </w:r>
            <w:r>
              <w:rPr>
                <w:rFonts w:hint="eastAsia" w:ascii="楷体" w:hAnsi="楷体" w:eastAsia="楷体" w:cs="微软雅黑"/>
                <w:color w:val="000000"/>
                <w:kern w:val="0"/>
                <w:sz w:val="21"/>
                <w:szCs w:val="21"/>
                <w:lang w:val="zh-CN"/>
              </w:rPr>
              <w:t>（19分）</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1-3</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德育队伍</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（4分）</w:t>
            </w:r>
          </w:p>
        </w:tc>
        <w:tc>
          <w:tcPr>
            <w:tcW w:w="6355" w:type="dxa"/>
            <w:tcBorders>
              <w:top w:val="single" w:color="000000" w:sz="2" w:space="0"/>
              <w:left w:val="single" w:color="000000" w:sz="2" w:space="0"/>
              <w:bottom w:val="single" w:color="000000" w:sz="2" w:space="0"/>
              <w:right w:val="single" w:color="000000" w:sz="2" w:space="0"/>
            </w:tcBorders>
            <w:tcMar>
              <w:top w:w="224" w:type="dxa"/>
              <w:left w:w="113" w:type="dxa"/>
              <w:bottom w:w="224"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8.思政课教师队伍建设有规划，有培训、考察、科研和考核激励机制。师生比符合1：350-400配备要求（民办高校含兼职教师）。有条件的高校吸引校内外专家学者参与思政课教学。（2分）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思政部</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人事处</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224" w:type="dxa"/>
              <w:left w:w="113" w:type="dxa"/>
              <w:bottom w:w="224"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9.辅导员队伍建设在招聘录用、日常管理、培训培养、考核激励等方面有计划、有举措。配备比例符合规定（本专科1：150；研究生1：200）。落实辅导员“双重身份、双线晋升”政策。（2分）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学工部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人事处</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1-4</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师德建设</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（6分）</w:t>
            </w:r>
          </w:p>
        </w:tc>
        <w:tc>
          <w:tcPr>
            <w:tcW w:w="6355" w:type="dxa"/>
            <w:tcBorders>
              <w:top w:val="single" w:color="000000" w:sz="2" w:space="0"/>
              <w:left w:val="single" w:color="000000" w:sz="2" w:space="0"/>
              <w:bottom w:val="single" w:color="000000" w:sz="2" w:space="0"/>
              <w:right w:val="single" w:color="000000" w:sz="2" w:space="0"/>
            </w:tcBorders>
            <w:tcMar>
              <w:top w:w="224" w:type="dxa"/>
              <w:left w:w="113" w:type="dxa"/>
              <w:bottom w:w="224"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10. 完善师德和学术道德规范管理制度，每学年开展师德师风调查，学生满意率达到85%以上。无严重违反师德情况。（1分）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召开座谈会</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10．问卷调查</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人事处</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en-US" w:eastAsia="zh-CN"/>
              </w:rPr>
              <w:t>教务处、科技处、</w:t>
            </w:r>
            <w:r>
              <w:rPr>
                <w:rFonts w:hint="eastAsia" w:ascii="楷体" w:hAnsi="楷体" w:eastAsia="楷体" w:cs="方正楷体简体"/>
                <w:color w:val="000000"/>
                <w:kern w:val="0"/>
                <w:sz w:val="21"/>
                <w:szCs w:val="21"/>
                <w:lang w:val="zh-CN"/>
              </w:rPr>
              <w:t>宣传部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224" w:type="dxa"/>
              <w:left w:w="113" w:type="dxa"/>
              <w:bottom w:w="224"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11.开展形式多样的师德主题教育活动，明确全员育人的岗位职责，表彰和宣传教书育人先进典型。（2分）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宣传部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人事处</w:t>
            </w:r>
          </w:p>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、工会</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224" w:type="dxa"/>
              <w:left w:w="113" w:type="dxa"/>
              <w:bottom w:w="224"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12.开展对新聘任教师、青年教师、学术骨干、留学回国教师等不同群体的思想教育。在教师培训特别是新聘任教师岗前培训中有针对性地开展师德教育。（２分）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人事处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r>
              <w:rPr>
                <w:rFonts w:hint="eastAsia" w:ascii="楷体" w:hAnsi="楷体" w:eastAsia="楷体" w:cs="方正楷体简体"/>
                <w:color w:val="000000"/>
                <w:kern w:val="0"/>
                <w:sz w:val="21"/>
                <w:szCs w:val="21"/>
                <w:lang w:val="zh-CN"/>
              </w:rPr>
              <w:t>教师发展与教学研究中心、</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224" w:type="dxa"/>
              <w:left w:w="113" w:type="dxa"/>
              <w:bottom w:w="224"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13.在教师绩效考核、表彰奖励、职务聘任等工作中实行“师德一票否决”。（１分）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人事处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宣传部</w:t>
            </w:r>
          </w:p>
        </w:tc>
      </w:tr>
      <w:tr>
        <w:tblPrEx>
          <w:tblLayout w:type="fixed"/>
          <w:tblCellMar>
            <w:top w:w="0" w:type="dxa"/>
            <w:left w:w="0" w:type="dxa"/>
            <w:bottom w:w="0" w:type="dxa"/>
            <w:right w:w="0" w:type="dxa"/>
          </w:tblCellMar>
        </w:tblPrEx>
        <w:trPr>
          <w:trHeight w:val="283" w:hRule="atLeast"/>
        </w:trPr>
        <w:tc>
          <w:tcPr>
            <w:tcW w:w="893"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2</w:t>
            </w:r>
            <w:r>
              <w:rPr>
                <w:rFonts w:hint="eastAsia" w:ascii="楷体" w:hAnsi="楷体" w:eastAsia="楷体" w:cs="微软雅黑"/>
                <w:color w:val="000000"/>
                <w:kern w:val="0"/>
                <w:sz w:val="21"/>
                <w:szCs w:val="21"/>
                <w:lang w:val="zh-CN"/>
              </w:rPr>
              <w:br w:type="textWrapping"/>
            </w:r>
            <w:r>
              <w:rPr>
                <w:rFonts w:hint="eastAsia" w:ascii="楷体" w:hAnsi="楷体" w:eastAsia="楷体" w:cs="微软雅黑"/>
                <w:color w:val="000000"/>
                <w:kern w:val="0"/>
                <w:sz w:val="21"/>
                <w:szCs w:val="21"/>
                <w:lang w:val="zh-CN"/>
              </w:rPr>
              <w:t>大学精神</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引领</w:t>
            </w:r>
            <w:r>
              <w:rPr>
                <w:rFonts w:hint="eastAsia" w:ascii="楷体" w:hAnsi="楷体" w:eastAsia="楷体" w:cs="微软雅黑"/>
                <w:color w:val="000000"/>
                <w:kern w:val="0"/>
                <w:sz w:val="21"/>
                <w:szCs w:val="21"/>
                <w:lang w:val="zh-CN"/>
              </w:rPr>
              <w:br w:type="textWrapping"/>
            </w:r>
            <w:r>
              <w:rPr>
                <w:rFonts w:hint="eastAsia" w:ascii="楷体" w:hAnsi="楷体" w:eastAsia="楷体" w:cs="微软雅黑"/>
                <w:color w:val="000000"/>
                <w:kern w:val="0"/>
                <w:sz w:val="21"/>
                <w:szCs w:val="21"/>
                <w:lang w:val="zh-CN"/>
              </w:rPr>
              <w:t>文化生活</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丰富</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（10分）</w:t>
            </w: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2-5</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文化活动</w:t>
            </w:r>
            <w:r>
              <w:rPr>
                <w:rFonts w:hint="eastAsia" w:ascii="楷体" w:hAnsi="楷体" w:eastAsia="楷体" w:cs="方正楷体简体"/>
                <w:color w:val="000000"/>
                <w:kern w:val="0"/>
                <w:sz w:val="21"/>
                <w:szCs w:val="21"/>
                <w:lang w:val="zh-CN"/>
              </w:rPr>
              <w:br w:type="textWrapping"/>
            </w:r>
            <w:r>
              <w:rPr>
                <w:rFonts w:hint="eastAsia" w:ascii="楷体" w:hAnsi="楷体" w:eastAsia="楷体" w:cs="方正楷体简体"/>
                <w:color w:val="000000"/>
                <w:kern w:val="0"/>
                <w:sz w:val="21"/>
                <w:szCs w:val="21"/>
                <w:lang w:val="zh-CN"/>
              </w:rPr>
              <w:t>（5分）</w:t>
            </w:r>
          </w:p>
        </w:tc>
        <w:tc>
          <w:tcPr>
            <w:tcW w:w="6355" w:type="dxa"/>
            <w:tcBorders>
              <w:top w:val="single" w:color="000000" w:sz="2" w:space="0"/>
              <w:left w:val="single" w:color="000000" w:sz="2" w:space="0"/>
              <w:bottom w:val="single" w:color="000000" w:sz="2" w:space="0"/>
              <w:right w:val="single" w:color="000000" w:sz="2" w:space="0"/>
            </w:tcBorders>
            <w:tcMar>
              <w:top w:w="87" w:type="dxa"/>
              <w:left w:w="113" w:type="dxa"/>
              <w:bottom w:w="87"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14.建设并开发校史馆、档案馆、专业博物馆、大学生艺术实践基地等富有特色的育人基地功能。（1分）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14、15、16、17根据条件现场观摩和查看</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eastAsia="zh-CN"/>
              </w:rPr>
            </w:pPr>
            <w:r>
              <w:rPr>
                <w:rFonts w:hint="eastAsia" w:ascii="楷体" w:hAnsi="楷体" w:eastAsia="楷体" w:cs="方正楷体简体"/>
                <w:color w:val="000000"/>
                <w:kern w:val="0"/>
                <w:sz w:val="21"/>
                <w:szCs w:val="21"/>
                <w:lang w:val="en-US" w:eastAsia="zh-CN"/>
              </w:rPr>
              <w:t>校办</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en-US" w:eastAsia="zh-CN"/>
              </w:rPr>
            </w:pPr>
            <w:r>
              <w:rPr>
                <w:rFonts w:hint="eastAsia" w:ascii="楷体" w:hAnsi="楷体" w:eastAsia="楷体" w:cs="方正楷体简体"/>
                <w:color w:val="000000"/>
                <w:kern w:val="0"/>
                <w:sz w:val="21"/>
                <w:szCs w:val="21"/>
                <w:lang w:val="en-US" w:eastAsia="zh-CN"/>
              </w:rPr>
              <w:t>宣传部、学工部、文理学院</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87" w:type="dxa"/>
              <w:left w:w="113" w:type="dxa"/>
              <w:bottom w:w="87"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15.组织入学和毕业典礼、颁发奖学金等仪式，弘扬大学精神和学校传统。设立学校校园文化艺术中心、艺术教育中心和学生艺术团队。开展“高雅艺术进校园”、文化艺术节、大学生科学商店等校园文化品牌活动。（2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学工部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文理学院、团委、</w:t>
            </w:r>
            <w:r>
              <w:rPr>
                <w:rFonts w:hint="eastAsia" w:ascii="楷体" w:hAnsi="楷体" w:eastAsia="楷体"/>
                <w:kern w:val="0"/>
                <w:sz w:val="21"/>
                <w:szCs w:val="21"/>
                <w:lang w:val="en-US" w:eastAsia="zh-CN"/>
              </w:rPr>
              <w:t>宣传部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87" w:type="dxa"/>
              <w:left w:w="113" w:type="dxa"/>
              <w:bottom w:w="87"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16.学生和教职工社团活动丰富，管理规范。学生社团活动参与率达到90%以上。开设丰富的人文素养教育选修课和讲座报告。（1分）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团委</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工会、文理学院</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87" w:type="dxa"/>
              <w:left w:w="113" w:type="dxa"/>
              <w:bottom w:w="87"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17.建立教师和学生活动中心。新老校区文化场所布局合理，使用充分，活动丰富，管理有序。（1分）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val="en-US" w:eastAsia="zh-CN"/>
              </w:rPr>
              <w:t>发展</w:t>
            </w:r>
            <w:r>
              <w:rPr>
                <w:rFonts w:hint="eastAsia" w:ascii="楷体" w:hAnsi="楷体" w:eastAsia="楷体"/>
                <w:kern w:val="0"/>
                <w:sz w:val="21"/>
                <w:szCs w:val="21"/>
                <w:lang w:eastAsia="zh-CN"/>
              </w:rPr>
              <w:t>规划处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工会、团委</w:t>
            </w:r>
          </w:p>
        </w:tc>
      </w:tr>
      <w:tr>
        <w:tblPrEx>
          <w:tblLayout w:type="fixed"/>
          <w:tblCellMar>
            <w:top w:w="0" w:type="dxa"/>
            <w:left w:w="0" w:type="dxa"/>
            <w:bottom w:w="0" w:type="dxa"/>
            <w:right w:w="0" w:type="dxa"/>
          </w:tblCellMar>
        </w:tblPrEx>
        <w:trPr>
          <w:trHeight w:val="222"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2-6</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舆论导向</w:t>
            </w:r>
            <w:r>
              <w:rPr>
                <w:rFonts w:hint="eastAsia" w:ascii="楷体" w:hAnsi="楷体" w:eastAsia="楷体" w:cs="方正楷体简体"/>
                <w:color w:val="000000"/>
                <w:kern w:val="0"/>
                <w:sz w:val="21"/>
                <w:szCs w:val="21"/>
                <w:lang w:val="zh-CN"/>
              </w:rPr>
              <w:br w:type="textWrapping"/>
            </w:r>
            <w:r>
              <w:rPr>
                <w:rFonts w:hint="eastAsia" w:ascii="楷体" w:hAnsi="楷体" w:eastAsia="楷体" w:cs="方正楷体简体"/>
                <w:color w:val="000000"/>
                <w:kern w:val="0"/>
                <w:sz w:val="21"/>
                <w:szCs w:val="21"/>
                <w:lang w:val="zh-CN"/>
              </w:rPr>
              <w:t>（5分）</w:t>
            </w:r>
          </w:p>
        </w:tc>
        <w:tc>
          <w:tcPr>
            <w:tcW w:w="6355" w:type="dxa"/>
            <w:tcBorders>
              <w:top w:val="single" w:color="000000" w:sz="2" w:space="0"/>
              <w:left w:val="single" w:color="000000" w:sz="2" w:space="0"/>
              <w:bottom w:val="single" w:color="000000" w:sz="2" w:space="0"/>
              <w:right w:val="single" w:color="000000" w:sz="2" w:space="0"/>
            </w:tcBorders>
            <w:tcMar>
              <w:top w:w="87" w:type="dxa"/>
              <w:left w:w="113" w:type="dxa"/>
              <w:bottom w:w="87"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18.建立规范的哲学社会科学报告会、论坛、研讨会、讲座和使用原版外文教材的审核管理制度。（2分）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19、21</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根据条件</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实地查看</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宣传部</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教务处</w:t>
            </w:r>
          </w:p>
        </w:tc>
      </w:tr>
      <w:tr>
        <w:tblPrEx>
          <w:tblLayout w:type="fixed"/>
          <w:tblCellMar>
            <w:top w:w="0" w:type="dxa"/>
            <w:left w:w="0" w:type="dxa"/>
            <w:bottom w:w="0" w:type="dxa"/>
            <w:right w:w="0" w:type="dxa"/>
          </w:tblCellMar>
        </w:tblPrEx>
        <w:trPr>
          <w:trHeight w:val="727"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87" w:type="dxa"/>
              <w:left w:w="113" w:type="dxa"/>
              <w:bottom w:w="87"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19.充分发挥校园网、广播台、校刊、电子屏、微信公众平台、官方微博、公告栏等宣传媒体教育功能，媒体管理有序。落实校报进寝室。</w:t>
            </w:r>
          </w:p>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（１分）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宣传部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学工部、团委、</w:t>
            </w:r>
            <w:r>
              <w:rPr>
                <w:rFonts w:hint="eastAsia" w:ascii="楷体" w:hAnsi="楷体" w:eastAsia="楷体"/>
                <w:kern w:val="0"/>
                <w:sz w:val="21"/>
                <w:szCs w:val="21"/>
                <w:lang w:val="en-US" w:eastAsia="zh-CN"/>
              </w:rPr>
              <w:t>信管中心</w:t>
            </w:r>
          </w:p>
        </w:tc>
      </w:tr>
      <w:tr>
        <w:tblPrEx>
          <w:tblLayout w:type="fixed"/>
          <w:tblCellMar>
            <w:top w:w="0" w:type="dxa"/>
            <w:left w:w="0" w:type="dxa"/>
            <w:bottom w:w="0" w:type="dxa"/>
            <w:right w:w="0" w:type="dxa"/>
          </w:tblCellMar>
        </w:tblPrEx>
        <w:trPr>
          <w:trHeight w:val="698"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87" w:type="dxa"/>
              <w:left w:w="113" w:type="dxa"/>
              <w:bottom w:w="87"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20.建立学校新闻发言人制度，及时发布学校新闻信息。与媒体保持良好的沟通联系，做好突发事件新闻应对处理工作，对媒体舆论监督及时整改、反馈。（1分）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宣传部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p>
        </w:tc>
      </w:tr>
      <w:tr>
        <w:tblPrEx>
          <w:tblLayout w:type="fixed"/>
          <w:tblCellMar>
            <w:top w:w="0" w:type="dxa"/>
            <w:left w:w="0" w:type="dxa"/>
            <w:bottom w:w="0" w:type="dxa"/>
            <w:right w:w="0" w:type="dxa"/>
          </w:tblCellMar>
        </w:tblPrEx>
        <w:trPr>
          <w:trHeight w:val="387"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87" w:type="dxa"/>
              <w:left w:w="113" w:type="dxa"/>
              <w:bottom w:w="87"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21.有效推进易班建设，开发网络教育产品。健全校内网站审批管理制度，建立师生网络工作队伍。（1分）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学工部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宣传部</w:t>
            </w:r>
          </w:p>
        </w:tc>
      </w:tr>
      <w:tr>
        <w:tblPrEx>
          <w:tblLayout w:type="fixed"/>
          <w:tblCellMar>
            <w:top w:w="0" w:type="dxa"/>
            <w:left w:w="0" w:type="dxa"/>
            <w:bottom w:w="0" w:type="dxa"/>
            <w:right w:w="0" w:type="dxa"/>
          </w:tblCellMar>
        </w:tblPrEx>
        <w:trPr>
          <w:trHeight w:val="567" w:hRule="atLeast"/>
        </w:trPr>
        <w:tc>
          <w:tcPr>
            <w:tcW w:w="893"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3</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党的建设</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加强</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核心作用</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强化</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（21分）</w:t>
            </w: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3-7</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班子建设</w:t>
            </w:r>
          </w:p>
          <w:p>
            <w:pPr>
              <w:autoSpaceDE w:val="0"/>
              <w:autoSpaceDN w:val="0"/>
              <w:adjustRightInd w:val="0"/>
              <w:spacing w:line="240" w:lineRule="exact"/>
              <w:jc w:val="center"/>
              <w:textAlignment w:val="center"/>
              <w:rPr>
                <w:rFonts w:hint="eastAsia" w:ascii="楷体" w:hAnsi="楷体" w:eastAsia="楷体" w:cs="Adobe 宋体 Std L"/>
                <w:color w:val="000000"/>
                <w:kern w:val="0"/>
                <w:sz w:val="21"/>
                <w:szCs w:val="21"/>
                <w:lang w:val="zh-CN"/>
              </w:rPr>
            </w:pPr>
            <w:r>
              <w:rPr>
                <w:rFonts w:hint="eastAsia" w:ascii="楷体" w:hAnsi="楷体" w:eastAsia="楷体" w:cs="方正楷体简体"/>
                <w:color w:val="000000"/>
                <w:kern w:val="0"/>
                <w:sz w:val="21"/>
                <w:szCs w:val="21"/>
                <w:lang w:val="zh-CN"/>
              </w:rPr>
              <w:t>（5分）</w:t>
            </w:r>
          </w:p>
        </w:tc>
        <w:tc>
          <w:tcPr>
            <w:tcW w:w="6355" w:type="dxa"/>
            <w:tcBorders>
              <w:top w:val="single" w:color="000000" w:sz="2" w:space="0"/>
              <w:left w:val="single" w:color="000000" w:sz="2" w:space="0"/>
              <w:bottom w:val="single" w:color="000000" w:sz="2" w:space="0"/>
              <w:right w:val="single" w:color="000000" w:sz="2" w:space="0"/>
            </w:tcBorders>
            <w:tcMar>
              <w:top w:w="320" w:type="dxa"/>
              <w:left w:w="113" w:type="dxa"/>
              <w:bottom w:w="320"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22-1．（公办高校）：形成落实党委领导下的校长负责制各项制度，保证党委对“三重一大”事项集体决策，保证校长在党委领导下独立负责地开展教学、科研和行政管理工作。班子民主测评满意度达到90%以上。（2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党办</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en-US" w:eastAsia="zh-CN"/>
              </w:rPr>
            </w:pPr>
            <w:r>
              <w:rPr>
                <w:rFonts w:hint="eastAsia" w:ascii="楷体" w:hAnsi="楷体" w:eastAsia="楷体" w:cs="方正楷体简体"/>
                <w:color w:val="000000"/>
                <w:kern w:val="0"/>
                <w:sz w:val="21"/>
                <w:szCs w:val="21"/>
                <w:lang w:val="en-US" w:eastAsia="zh-CN"/>
              </w:rPr>
              <w:t>组织部</w:t>
            </w:r>
          </w:p>
        </w:tc>
      </w:tr>
      <w:tr>
        <w:tblPrEx>
          <w:tblLayout w:type="fixed"/>
          <w:tblCellMar>
            <w:top w:w="0" w:type="dxa"/>
            <w:left w:w="0" w:type="dxa"/>
            <w:bottom w:w="0" w:type="dxa"/>
            <w:right w:w="0" w:type="dxa"/>
          </w:tblCellMar>
        </w:tblPrEx>
        <w:trPr>
          <w:trHeight w:val="444"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320" w:type="dxa"/>
              <w:left w:w="113" w:type="dxa"/>
              <w:bottom w:w="320"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23.学校班子成员主动服务群众，建立联系点和调查研究、谈心、接待等制度。落实上级巡视及班子民主生活会整改项目。（1分）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党办</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组织部</w:t>
            </w:r>
          </w:p>
        </w:tc>
      </w:tr>
      <w:tr>
        <w:tblPrEx>
          <w:tblLayout w:type="fixed"/>
          <w:tblCellMar>
            <w:top w:w="0" w:type="dxa"/>
            <w:left w:w="0" w:type="dxa"/>
            <w:bottom w:w="0" w:type="dxa"/>
            <w:right w:w="0" w:type="dxa"/>
          </w:tblCellMar>
        </w:tblPrEx>
        <w:trPr>
          <w:trHeight w:val="20"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320" w:type="dxa"/>
              <w:left w:w="113" w:type="dxa"/>
              <w:bottom w:w="320"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24.形成比较完善的院（系）领导体制，通过党政联席会议决策重要事项。（１分）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党办</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r>
              <w:rPr>
                <w:rFonts w:hint="eastAsia" w:ascii="楷体" w:hAnsi="楷体" w:eastAsia="楷体"/>
                <w:kern w:val="0"/>
                <w:sz w:val="21"/>
                <w:szCs w:val="21"/>
                <w:lang w:eastAsia="zh-CN"/>
              </w:rPr>
              <w:t>各党总支</w:t>
            </w:r>
          </w:p>
        </w:tc>
      </w:tr>
      <w:tr>
        <w:tblPrEx>
          <w:tblLayout w:type="fixed"/>
          <w:tblCellMar>
            <w:top w:w="0" w:type="dxa"/>
            <w:left w:w="0" w:type="dxa"/>
            <w:bottom w:w="0" w:type="dxa"/>
            <w:right w:w="0" w:type="dxa"/>
          </w:tblCellMar>
        </w:tblPrEx>
        <w:trPr>
          <w:trHeight w:val="20"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320" w:type="dxa"/>
              <w:left w:w="113" w:type="dxa"/>
              <w:bottom w:w="320"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25.干部选拔、教育、培养、考核和监督制度严格规范。党校工作体制健全、成效显著。（1分）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组织部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纪</w:t>
            </w:r>
            <w:r>
              <w:rPr>
                <w:rFonts w:hint="eastAsia" w:ascii="楷体" w:hAnsi="楷体" w:eastAsia="楷体"/>
                <w:kern w:val="0"/>
                <w:sz w:val="21"/>
                <w:szCs w:val="21"/>
                <w:lang w:val="en-US" w:eastAsia="zh-CN"/>
              </w:rPr>
              <w:t>监</w:t>
            </w:r>
            <w:r>
              <w:rPr>
                <w:rFonts w:hint="eastAsia" w:ascii="楷体" w:hAnsi="楷体" w:eastAsia="楷体"/>
                <w:kern w:val="0"/>
                <w:sz w:val="21"/>
                <w:szCs w:val="21"/>
                <w:lang w:eastAsia="zh-CN"/>
              </w:rPr>
              <w:t>办</w:t>
            </w:r>
          </w:p>
        </w:tc>
      </w:tr>
      <w:tr>
        <w:tblPrEx>
          <w:tblLayout w:type="fixed"/>
          <w:tblCellMar>
            <w:top w:w="0" w:type="dxa"/>
            <w:left w:w="0" w:type="dxa"/>
            <w:bottom w:w="0" w:type="dxa"/>
            <w:right w:w="0" w:type="dxa"/>
          </w:tblCellMar>
        </w:tblPrEx>
        <w:trPr>
          <w:trHeight w:val="283" w:hRule="atLeast"/>
        </w:trPr>
        <w:tc>
          <w:tcPr>
            <w:tcW w:w="893"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3</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党的建设</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加强</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核心作用</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强化</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（21分）</w:t>
            </w: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rPr>
            </w:pPr>
            <w:r>
              <w:rPr>
                <w:rFonts w:hint="eastAsia" w:ascii="楷体" w:hAnsi="楷体" w:eastAsia="楷体" w:cs="方正楷体简体"/>
                <w:color w:val="000000"/>
                <w:kern w:val="0"/>
                <w:sz w:val="21"/>
                <w:szCs w:val="21"/>
              </w:rPr>
              <w:t>3-8</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rPr>
            </w:pPr>
            <w:r>
              <w:rPr>
                <w:rFonts w:hint="eastAsia" w:ascii="楷体" w:hAnsi="楷体" w:eastAsia="楷体" w:cs="方正楷体简体"/>
                <w:color w:val="000000"/>
                <w:kern w:val="0"/>
                <w:sz w:val="21"/>
                <w:szCs w:val="21"/>
              </w:rPr>
              <w:t>基层党建</w:t>
            </w:r>
          </w:p>
          <w:p>
            <w:pPr>
              <w:autoSpaceDE w:val="0"/>
              <w:autoSpaceDN w:val="0"/>
              <w:adjustRightInd w:val="0"/>
              <w:spacing w:line="240" w:lineRule="exact"/>
              <w:jc w:val="center"/>
              <w:textAlignment w:val="center"/>
              <w:rPr>
                <w:rFonts w:hint="eastAsia" w:ascii="楷体" w:hAnsi="楷体" w:eastAsia="楷体" w:cs="Adobe 宋体 Std L"/>
                <w:color w:val="000000"/>
                <w:kern w:val="0"/>
                <w:sz w:val="21"/>
                <w:szCs w:val="21"/>
                <w:lang w:val="zh-CN"/>
              </w:rPr>
            </w:pPr>
            <w:r>
              <w:rPr>
                <w:rFonts w:hint="eastAsia" w:ascii="楷体" w:hAnsi="楷体" w:eastAsia="楷体" w:cs="方正楷体简体"/>
                <w:color w:val="000000"/>
                <w:kern w:val="0"/>
                <w:sz w:val="21"/>
                <w:szCs w:val="21"/>
              </w:rPr>
              <w:t>（6分）</w:t>
            </w:r>
          </w:p>
        </w:tc>
        <w:tc>
          <w:tcPr>
            <w:tcW w:w="6355" w:type="dxa"/>
            <w:tcBorders>
              <w:top w:val="single" w:color="000000" w:sz="2" w:space="0"/>
              <w:left w:val="single" w:color="000000" w:sz="2" w:space="0"/>
              <w:bottom w:val="single" w:color="000000" w:sz="2" w:space="0"/>
              <w:right w:val="single" w:color="000000" w:sz="2" w:space="0"/>
            </w:tcBorders>
            <w:tcMar>
              <w:top w:w="204" w:type="dxa"/>
              <w:left w:w="113" w:type="dxa"/>
              <w:bottom w:w="204"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26. 落实教职工和学生党组织党建工作责任制。“学习型、服务型、创新型”党组织建设有计划、有制度、有载体。党建工作覆盖包括访问学者、境外交换学生等在内的全体党员。（2分）</w:t>
            </w:r>
          </w:p>
        </w:tc>
        <w:tc>
          <w:tcPr>
            <w:tcW w:w="891" w:type="dxa"/>
            <w:vMerge w:val="restart"/>
            <w:tcBorders>
              <w:top w:val="single" w:color="000000" w:sz="2" w:space="0"/>
              <w:left w:val="single" w:color="000000" w:sz="2" w:space="0"/>
              <w:bottom w:val="nil"/>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组织部</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各党总支、</w:t>
            </w:r>
            <w:r>
              <w:rPr>
                <w:rFonts w:hint="eastAsia" w:ascii="楷体" w:hAnsi="楷体" w:eastAsia="楷体" w:cs="方正楷体简体"/>
                <w:color w:val="000000"/>
                <w:kern w:val="0"/>
                <w:sz w:val="21"/>
                <w:szCs w:val="21"/>
                <w:lang w:val="en-US" w:eastAsia="zh-CN"/>
              </w:rPr>
              <w:t>各直属党支部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204" w:type="dxa"/>
              <w:left w:w="113" w:type="dxa"/>
              <w:bottom w:w="204"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28.坚持“三会一课”，组织开展党内专题教育实践活动和党员民主评议。完成党报党刊征订任务。（1分）</w:t>
            </w:r>
          </w:p>
        </w:tc>
        <w:tc>
          <w:tcPr>
            <w:tcW w:w="891" w:type="dxa"/>
            <w:vMerge w:val="continue"/>
            <w:tcBorders>
              <w:top w:val="nil"/>
              <w:left w:val="single" w:color="000000" w:sz="2" w:space="0"/>
              <w:bottom w:val="nil"/>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val="en-US" w:eastAsia="zh-CN"/>
              </w:rPr>
              <w:t>组织部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r>
              <w:rPr>
                <w:rFonts w:hint="eastAsia" w:ascii="楷体" w:hAnsi="楷体" w:eastAsia="楷体"/>
                <w:kern w:val="0"/>
                <w:sz w:val="21"/>
                <w:szCs w:val="21"/>
                <w:lang w:eastAsia="zh-CN"/>
              </w:rPr>
              <w:t>宣传部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204" w:type="dxa"/>
              <w:left w:w="113" w:type="dxa"/>
              <w:bottom w:w="204"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29.落实党务公开,保障党员知情权、参与权、选举权、监督权。基层党组织按任期换届率达到90％以上。（ 1分）</w:t>
            </w:r>
          </w:p>
        </w:tc>
        <w:tc>
          <w:tcPr>
            <w:tcW w:w="891" w:type="dxa"/>
            <w:vMerge w:val="continue"/>
            <w:tcBorders>
              <w:top w:val="nil"/>
              <w:left w:val="single" w:color="000000" w:sz="2" w:space="0"/>
              <w:bottom w:val="nil"/>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val="en-US" w:eastAsia="zh-CN"/>
              </w:rPr>
              <w:t>党办</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组织部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204" w:type="dxa"/>
              <w:left w:w="113" w:type="dxa"/>
              <w:bottom w:w="204"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30.重视发展业务骨干、优秀青年入党，做好入党积极分子培养教育。对大学生等党员发展有严格具体的标准和规范的程序。党员日常教育管理有制度、有措施。党支部战斗堡垒作用和党员先锋模范作用得到群众认可。（2分）</w:t>
            </w:r>
          </w:p>
        </w:tc>
        <w:tc>
          <w:tcPr>
            <w:tcW w:w="891" w:type="dxa"/>
            <w:vMerge w:val="continue"/>
            <w:tcBorders>
              <w:top w:val="nil"/>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组织部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各党总支、</w:t>
            </w:r>
            <w:r>
              <w:rPr>
                <w:rFonts w:hint="eastAsia" w:ascii="楷体" w:hAnsi="楷体" w:eastAsia="楷体"/>
                <w:kern w:val="0"/>
                <w:sz w:val="21"/>
                <w:szCs w:val="21"/>
                <w:lang w:val="en-US" w:eastAsia="zh-CN"/>
              </w:rPr>
              <w:t>各直属党支部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3-9</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统战、离退休</w:t>
            </w:r>
          </w:p>
          <w:p>
            <w:pPr>
              <w:autoSpaceDE w:val="0"/>
              <w:autoSpaceDN w:val="0"/>
              <w:adjustRightInd w:val="0"/>
              <w:spacing w:line="240" w:lineRule="exact"/>
              <w:jc w:val="center"/>
              <w:textAlignment w:val="center"/>
              <w:rPr>
                <w:rFonts w:hint="eastAsia" w:ascii="楷体" w:hAnsi="楷体" w:eastAsia="楷体" w:cs="Adobe 宋体 Std L"/>
                <w:color w:val="000000"/>
                <w:kern w:val="0"/>
                <w:sz w:val="21"/>
                <w:szCs w:val="21"/>
                <w:lang w:val="zh-CN"/>
              </w:rPr>
            </w:pPr>
            <w:r>
              <w:rPr>
                <w:rFonts w:hint="eastAsia" w:ascii="楷体" w:hAnsi="楷体" w:eastAsia="楷体" w:cs="方正楷体简体"/>
                <w:color w:val="000000"/>
                <w:kern w:val="0"/>
                <w:sz w:val="21"/>
                <w:szCs w:val="21"/>
                <w:lang w:val="zh-CN"/>
              </w:rPr>
              <w:t>（2分）</w:t>
            </w:r>
          </w:p>
        </w:tc>
        <w:tc>
          <w:tcPr>
            <w:tcW w:w="6355" w:type="dxa"/>
            <w:tcBorders>
              <w:top w:val="single" w:color="000000" w:sz="2" w:space="0"/>
              <w:left w:val="single" w:color="000000" w:sz="2" w:space="0"/>
              <w:bottom w:val="single" w:color="000000" w:sz="2" w:space="0"/>
              <w:right w:val="single" w:color="000000" w:sz="2" w:space="0"/>
            </w:tcBorders>
            <w:tcMar>
              <w:top w:w="204" w:type="dxa"/>
              <w:left w:w="113" w:type="dxa"/>
              <w:bottom w:w="204"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31.有健全的培养、举荐和选拔任用党外代表人士工作机制，落实向党外人士通报情况、征求意见和联谊交友等各项制度。重视民族学生的教育、服务和管理，开展港澳台侨和海外统战工作。（1分）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eastAsia="zh-CN"/>
              </w:rPr>
            </w:pPr>
            <w:r>
              <w:rPr>
                <w:rFonts w:hint="eastAsia" w:ascii="楷体" w:hAnsi="楷体" w:eastAsia="楷体" w:cs="方正楷体简体"/>
                <w:color w:val="000000"/>
                <w:kern w:val="0"/>
                <w:sz w:val="21"/>
                <w:szCs w:val="21"/>
                <w:lang w:val="en-US" w:eastAsia="zh-CN"/>
              </w:rPr>
              <w:t>统战部</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eastAsia="zh-CN"/>
              </w:rPr>
            </w:pPr>
            <w:r>
              <w:rPr>
                <w:rFonts w:hint="eastAsia" w:ascii="楷体" w:hAnsi="楷体" w:eastAsia="楷体" w:cs="方正楷体简体"/>
                <w:color w:val="000000"/>
                <w:kern w:val="0"/>
                <w:sz w:val="21"/>
                <w:szCs w:val="21"/>
                <w:lang w:val="en-US" w:eastAsia="zh-CN"/>
              </w:rPr>
              <w:t>校友办</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204" w:type="dxa"/>
              <w:left w:w="113" w:type="dxa"/>
              <w:bottom w:w="204"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32.离退休干部思想政治建设和党支部建设有制度，各项政策落实，关心下一代工作有成效。（1分）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组织部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p>
        </w:tc>
      </w:tr>
      <w:tr>
        <w:tblPrEx>
          <w:tblLayout w:type="fixed"/>
          <w:tblCellMar>
            <w:top w:w="0" w:type="dxa"/>
            <w:left w:w="0" w:type="dxa"/>
            <w:bottom w:w="0" w:type="dxa"/>
            <w:right w:w="0" w:type="dxa"/>
          </w:tblCellMar>
        </w:tblPrEx>
        <w:trPr>
          <w:trHeight w:val="283" w:hRule="atLeast"/>
        </w:trPr>
        <w:tc>
          <w:tcPr>
            <w:tcW w:w="893"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3</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党的建设</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加强</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核心作用</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强化</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（21分）</w:t>
            </w: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3-10</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党风廉政</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（6分）</w:t>
            </w:r>
          </w:p>
        </w:tc>
        <w:tc>
          <w:tcPr>
            <w:tcW w:w="6355" w:type="dxa"/>
            <w:tcBorders>
              <w:top w:val="single" w:color="000000" w:sz="2" w:space="0"/>
              <w:left w:val="single" w:color="000000" w:sz="2" w:space="0"/>
              <w:bottom w:val="single" w:color="000000" w:sz="2" w:space="0"/>
              <w:right w:val="single" w:color="000000" w:sz="2" w:space="0"/>
            </w:tcBorders>
            <w:tcMar>
              <w:top w:w="137" w:type="dxa"/>
              <w:left w:w="113" w:type="dxa"/>
              <w:bottom w:w="137"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33．落实党风廉政建设党委主体责任和纪委监督责任，党风廉政和反腐败工作的领导及工作机制健全。落实党政班子成员“一岗双责”、干部述职述廉，以及重大事项请示报告、个人有关事项报告、干部谈话等各项制度。（2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34.问卷</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调查</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党办</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纪</w:t>
            </w:r>
            <w:r>
              <w:rPr>
                <w:rFonts w:hint="eastAsia" w:ascii="楷体" w:hAnsi="楷体" w:eastAsia="楷体" w:cs="方正楷体简体"/>
                <w:color w:val="000000"/>
                <w:kern w:val="0"/>
                <w:sz w:val="21"/>
                <w:szCs w:val="21"/>
                <w:lang w:val="en-US" w:eastAsia="zh-CN"/>
              </w:rPr>
              <w:t>监</w:t>
            </w:r>
            <w:r>
              <w:rPr>
                <w:rFonts w:hint="eastAsia" w:ascii="楷体" w:hAnsi="楷体" w:eastAsia="楷体" w:cs="方正楷体简体"/>
                <w:color w:val="000000"/>
                <w:kern w:val="0"/>
                <w:sz w:val="21"/>
                <w:szCs w:val="21"/>
                <w:lang w:val="zh-CN"/>
              </w:rPr>
              <w:t>办、</w:t>
            </w:r>
            <w:r>
              <w:rPr>
                <w:rFonts w:hint="eastAsia" w:ascii="楷体" w:hAnsi="楷体" w:eastAsia="楷体" w:cs="方正楷体简体"/>
                <w:color w:val="000000"/>
                <w:kern w:val="0"/>
                <w:sz w:val="21"/>
                <w:szCs w:val="21"/>
                <w:lang w:val="en-US" w:eastAsia="zh-CN"/>
              </w:rPr>
              <w:t>组织部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37" w:type="dxa"/>
              <w:left w:w="113" w:type="dxa"/>
              <w:bottom w:w="137"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34.对党员干部、师生员工开展经常性的反腐倡廉宣传和警示教育，落实廉洁文化进校园工作。党风廉政建设群众满意率达到90%以上。</w:t>
            </w:r>
          </w:p>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纪</w:t>
            </w:r>
            <w:r>
              <w:rPr>
                <w:rFonts w:hint="eastAsia" w:ascii="楷体" w:hAnsi="楷体" w:eastAsia="楷体"/>
                <w:kern w:val="0"/>
                <w:sz w:val="21"/>
                <w:szCs w:val="21"/>
                <w:lang w:val="en-US" w:eastAsia="zh-CN"/>
              </w:rPr>
              <w:t>监</w:t>
            </w:r>
            <w:r>
              <w:rPr>
                <w:rFonts w:hint="eastAsia" w:ascii="楷体" w:hAnsi="楷体" w:eastAsia="楷体"/>
                <w:kern w:val="0"/>
                <w:sz w:val="21"/>
                <w:szCs w:val="21"/>
                <w:lang w:eastAsia="zh-CN"/>
              </w:rPr>
              <w:t>办</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组织部、学工部、宣传部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37" w:type="dxa"/>
              <w:left w:w="113" w:type="dxa"/>
              <w:bottom w:w="137"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35.严格落实“八项规定”精神，形成整治“四风”的长效机制。“三公”经费支出规范，遵守领导干部廉洁自律规定，无违规违纪现象。</w:t>
            </w:r>
          </w:p>
          <w:p>
            <w:pPr>
              <w:autoSpaceDE w:val="0"/>
              <w:autoSpaceDN w:val="0"/>
              <w:adjustRightInd w:val="0"/>
              <w:spacing w:line="240" w:lineRule="exact"/>
              <w:textAlignment w:val="center"/>
              <w:rPr>
                <w:rFonts w:hint="eastAsia" w:ascii="楷体" w:hAnsi="楷体" w:eastAsia="楷体" w:cs="Adobe 宋体 Std L"/>
                <w:color w:val="000000"/>
                <w:kern w:val="0"/>
                <w:sz w:val="21"/>
                <w:szCs w:val="21"/>
                <w:lang w:val="zh-CN"/>
              </w:rPr>
            </w:pPr>
            <w:r>
              <w:rPr>
                <w:rFonts w:hint="eastAsia" w:ascii="楷体" w:hAnsi="楷体" w:eastAsia="楷体" w:cs="方正楷体简体"/>
                <w:color w:val="000000"/>
                <w:kern w:val="0"/>
                <w:sz w:val="21"/>
                <w:szCs w:val="21"/>
                <w:lang w:val="zh-CN"/>
              </w:rPr>
              <w:t>（2分）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纪</w:t>
            </w:r>
            <w:r>
              <w:rPr>
                <w:rFonts w:hint="eastAsia" w:ascii="楷体" w:hAnsi="楷体" w:eastAsia="楷体"/>
                <w:kern w:val="0"/>
                <w:sz w:val="21"/>
                <w:szCs w:val="21"/>
                <w:lang w:val="en-US" w:eastAsia="zh-CN"/>
              </w:rPr>
              <w:t>监</w:t>
            </w:r>
            <w:r>
              <w:rPr>
                <w:rFonts w:hint="eastAsia" w:ascii="楷体" w:hAnsi="楷体" w:eastAsia="楷体"/>
                <w:kern w:val="0"/>
                <w:sz w:val="21"/>
                <w:szCs w:val="21"/>
                <w:lang w:eastAsia="zh-CN"/>
              </w:rPr>
              <w:t>办</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组织部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37" w:type="dxa"/>
              <w:left w:w="113" w:type="dxa"/>
              <w:bottom w:w="137" w:type="dxa"/>
              <w:right w:w="113" w:type="dxa"/>
            </w:tcMar>
            <w:vAlign w:val="center"/>
          </w:tcPr>
          <w:p>
            <w:pPr>
              <w:autoSpaceDE w:val="0"/>
              <w:autoSpaceDN w:val="0"/>
              <w:adjustRightInd w:val="0"/>
              <w:spacing w:line="240" w:lineRule="exact"/>
              <w:textAlignment w:val="center"/>
              <w:rPr>
                <w:rFonts w:hint="eastAsia" w:ascii="楷体" w:hAnsi="楷体" w:eastAsia="楷体" w:cs="Adobe 宋体 Std L"/>
                <w:color w:val="000000"/>
                <w:kern w:val="0"/>
                <w:sz w:val="21"/>
                <w:szCs w:val="21"/>
                <w:lang w:val="zh-CN"/>
              </w:rPr>
            </w:pPr>
            <w:r>
              <w:rPr>
                <w:rFonts w:hint="eastAsia" w:ascii="楷体" w:hAnsi="楷体" w:eastAsia="楷体" w:cs="方正楷体简体"/>
                <w:color w:val="000000"/>
                <w:kern w:val="0"/>
                <w:sz w:val="21"/>
                <w:szCs w:val="21"/>
                <w:lang w:val="zh-CN"/>
              </w:rPr>
              <w:t>36.教职工向校领导反映情况、表达诉求渠道畅通。学校对信访举报和违规违纪问题等查处及时、规范。（1分）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校办</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党办、纪</w:t>
            </w:r>
            <w:r>
              <w:rPr>
                <w:rFonts w:hint="eastAsia" w:ascii="楷体" w:hAnsi="楷体" w:eastAsia="楷体"/>
                <w:kern w:val="0"/>
                <w:sz w:val="21"/>
                <w:szCs w:val="21"/>
                <w:lang w:val="en-US" w:eastAsia="zh-CN"/>
              </w:rPr>
              <w:t>监</w:t>
            </w:r>
            <w:r>
              <w:rPr>
                <w:rFonts w:hint="eastAsia" w:ascii="楷体" w:hAnsi="楷体" w:eastAsia="楷体"/>
                <w:kern w:val="0"/>
                <w:sz w:val="21"/>
                <w:szCs w:val="21"/>
                <w:lang w:eastAsia="zh-CN"/>
              </w:rPr>
              <w:t>办</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3-11</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群众工作</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（2分）</w:t>
            </w:r>
          </w:p>
        </w:tc>
        <w:tc>
          <w:tcPr>
            <w:tcW w:w="6355" w:type="dxa"/>
            <w:tcBorders>
              <w:top w:val="single" w:color="000000" w:sz="2" w:space="0"/>
              <w:left w:val="single" w:color="000000" w:sz="2" w:space="0"/>
              <w:bottom w:val="single" w:color="000000" w:sz="2" w:space="0"/>
              <w:right w:val="single" w:color="000000" w:sz="2" w:space="0"/>
            </w:tcBorders>
            <w:tcMar>
              <w:top w:w="137" w:type="dxa"/>
              <w:left w:w="113" w:type="dxa"/>
              <w:bottom w:w="137" w:type="dxa"/>
              <w:right w:w="113" w:type="dxa"/>
            </w:tcMar>
            <w:vAlign w:val="center"/>
          </w:tcPr>
          <w:p>
            <w:pPr>
              <w:autoSpaceDE w:val="0"/>
              <w:autoSpaceDN w:val="0"/>
              <w:adjustRightInd w:val="0"/>
              <w:spacing w:line="240" w:lineRule="exact"/>
              <w:textAlignment w:val="center"/>
              <w:rPr>
                <w:rFonts w:hint="eastAsia" w:ascii="楷体" w:hAnsi="楷体" w:eastAsia="楷体" w:cs="Adobe 宋体 Std L"/>
                <w:color w:val="000000"/>
                <w:kern w:val="0"/>
                <w:sz w:val="21"/>
                <w:szCs w:val="21"/>
                <w:lang w:val="zh-CN"/>
              </w:rPr>
            </w:pPr>
            <w:r>
              <w:rPr>
                <w:rFonts w:hint="eastAsia" w:ascii="楷体" w:hAnsi="楷体" w:eastAsia="楷体" w:cs="方正楷体简体"/>
                <w:color w:val="000000"/>
                <w:spacing w:val="-4"/>
                <w:kern w:val="0"/>
                <w:sz w:val="21"/>
                <w:szCs w:val="21"/>
                <w:lang w:val="zh-CN"/>
              </w:rPr>
              <w:t>37.创建或建成系统模范“教职工之家”，二级单位85%以上建立“教工小家”。落实教职工疗休养和体检制度。参加市总工会互助保障计划达到95%以上，参加教师补充医疗保险计划。开展“送温暖”活动，丰富教职工文体活动，保障女职工权益。健全工会及妇委会等群众组织。（1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37．根据条件实地查看</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工会</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en-US" w:eastAsia="zh-CN"/>
              </w:rPr>
            </w:pPr>
            <w:r>
              <w:rPr>
                <w:rFonts w:hint="eastAsia" w:ascii="楷体" w:hAnsi="楷体" w:eastAsia="楷体" w:cs="方正楷体简体"/>
                <w:color w:val="000000"/>
                <w:kern w:val="0"/>
                <w:sz w:val="21"/>
                <w:szCs w:val="21"/>
                <w:lang w:val="en-US" w:eastAsia="zh-CN"/>
              </w:rPr>
              <w:t>妇委会</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37" w:type="dxa"/>
              <w:left w:w="113" w:type="dxa"/>
              <w:bottom w:w="137" w:type="dxa"/>
              <w:right w:w="113" w:type="dxa"/>
            </w:tcMar>
            <w:vAlign w:val="center"/>
          </w:tcPr>
          <w:p>
            <w:pPr>
              <w:autoSpaceDE w:val="0"/>
              <w:autoSpaceDN w:val="0"/>
              <w:adjustRightInd w:val="0"/>
              <w:spacing w:line="240" w:lineRule="exact"/>
              <w:textAlignment w:val="center"/>
              <w:rPr>
                <w:rFonts w:hint="eastAsia" w:ascii="楷体" w:hAnsi="楷体" w:eastAsia="楷体" w:cs="Adobe 宋体 Std L"/>
                <w:color w:val="000000"/>
                <w:kern w:val="0"/>
                <w:sz w:val="21"/>
                <w:szCs w:val="21"/>
                <w:lang w:val="zh-CN"/>
              </w:rPr>
            </w:pPr>
            <w:r>
              <w:rPr>
                <w:rFonts w:hint="eastAsia" w:ascii="楷体" w:hAnsi="楷体" w:eastAsia="楷体" w:cs="方正楷体简体"/>
                <w:color w:val="000000"/>
                <w:kern w:val="0"/>
                <w:sz w:val="21"/>
                <w:szCs w:val="21"/>
                <w:lang w:val="zh-CN"/>
              </w:rPr>
              <w:t>38.团学组织制度健全，工作形式多样。青年教师和学生参与度高。    （1分）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团委</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p>
        </w:tc>
      </w:tr>
      <w:tr>
        <w:tblPrEx>
          <w:tblLayout w:type="fixed"/>
          <w:tblCellMar>
            <w:top w:w="0" w:type="dxa"/>
            <w:left w:w="0" w:type="dxa"/>
            <w:bottom w:w="0" w:type="dxa"/>
            <w:right w:w="0" w:type="dxa"/>
          </w:tblCellMar>
        </w:tblPrEx>
        <w:trPr>
          <w:trHeight w:val="793" w:hRule="atLeast"/>
        </w:trPr>
        <w:tc>
          <w:tcPr>
            <w:tcW w:w="893"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4</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内涵发展</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持续</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办学绩效</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显著</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（24分）</w:t>
            </w: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4-12</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发展战略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（2分）</w:t>
            </w:r>
          </w:p>
        </w:tc>
        <w:tc>
          <w:tcPr>
            <w:tcW w:w="6355" w:type="dxa"/>
            <w:tcBorders>
              <w:top w:val="single" w:color="000000" w:sz="2" w:space="0"/>
              <w:left w:val="single" w:color="000000" w:sz="2" w:space="0"/>
              <w:bottom w:val="single" w:color="000000" w:sz="2" w:space="0"/>
              <w:right w:val="single" w:color="000000" w:sz="2" w:space="0"/>
            </w:tcBorders>
            <w:tcMar>
              <w:top w:w="65" w:type="dxa"/>
              <w:left w:w="113" w:type="dxa"/>
              <w:bottom w:w="65"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39.制定学校中长期、“十三五”等发展规划和综合改革方案，办学定位科学，形成对接国家、上海和行业需求、与办学定位相匹配的发展目标。（1分）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eastAsia="zh-CN"/>
              </w:rPr>
            </w:pPr>
            <w:r>
              <w:rPr>
                <w:rFonts w:hint="eastAsia" w:ascii="楷体" w:hAnsi="楷体" w:eastAsia="楷体" w:cs="方正楷体简体"/>
                <w:color w:val="000000"/>
                <w:kern w:val="0"/>
                <w:sz w:val="21"/>
                <w:szCs w:val="21"/>
                <w:lang w:val="en-US" w:eastAsia="zh-CN"/>
              </w:rPr>
              <w:t>发展规划处</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相关部门</w:t>
            </w:r>
          </w:p>
        </w:tc>
      </w:tr>
      <w:tr>
        <w:tblPrEx>
          <w:tblLayout w:type="fixed"/>
          <w:tblCellMar>
            <w:top w:w="0" w:type="dxa"/>
            <w:left w:w="0" w:type="dxa"/>
            <w:bottom w:w="0" w:type="dxa"/>
            <w:right w:w="0" w:type="dxa"/>
          </w:tblCellMar>
        </w:tblPrEx>
        <w:trPr>
          <w:trHeight w:val="245"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65" w:type="dxa"/>
              <w:left w:w="113" w:type="dxa"/>
              <w:bottom w:w="65"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40.承担国家和上海教育综合改革任务，学校重点改革项目明确并有效落实。（1分）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cs="方正楷体简体"/>
                <w:color w:val="000000"/>
                <w:kern w:val="0"/>
                <w:sz w:val="21"/>
                <w:szCs w:val="21"/>
                <w:lang w:val="en-US" w:eastAsia="zh-CN"/>
              </w:rPr>
              <w:t>发展规划处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4-13</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内部治理</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（6分）</w:t>
            </w:r>
          </w:p>
        </w:tc>
        <w:tc>
          <w:tcPr>
            <w:tcW w:w="6355" w:type="dxa"/>
            <w:tcBorders>
              <w:top w:val="single" w:color="000000" w:sz="2" w:space="0"/>
              <w:left w:val="single" w:color="000000" w:sz="2" w:space="0"/>
              <w:bottom w:val="single" w:color="000000" w:sz="2" w:space="0"/>
              <w:right w:val="single" w:color="000000" w:sz="2" w:space="0"/>
            </w:tcBorders>
            <w:tcMar>
              <w:top w:w="65" w:type="dxa"/>
              <w:left w:w="113" w:type="dxa"/>
              <w:bottom w:w="65" w:type="dxa"/>
              <w:right w:w="113" w:type="dxa"/>
            </w:tcMar>
            <w:vAlign w:val="center"/>
          </w:tcPr>
          <w:p>
            <w:pPr>
              <w:autoSpaceDE w:val="0"/>
              <w:autoSpaceDN w:val="0"/>
              <w:adjustRightInd w:val="0"/>
              <w:spacing w:line="240" w:lineRule="exact"/>
              <w:jc w:val="lef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spacing w:val="-10"/>
                <w:kern w:val="0"/>
                <w:sz w:val="21"/>
                <w:szCs w:val="21"/>
                <w:lang w:val="zh-CN"/>
              </w:rPr>
              <w:t>41.制定并实施学校章程，建立学校法律顾问制度，开展师生法制宣传教育，形成依法自主办学、建立现代大学制度的工作规划和工作机制。（1分）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校办</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en-US" w:eastAsia="zh-CN"/>
              </w:rPr>
              <w:t>宣传部</w:t>
            </w:r>
            <w:r>
              <w:rPr>
                <w:rFonts w:hint="eastAsia" w:ascii="楷体" w:hAnsi="楷体" w:eastAsia="楷体" w:cs="方正楷体简体"/>
                <w:color w:val="000000"/>
                <w:kern w:val="0"/>
                <w:sz w:val="21"/>
                <w:szCs w:val="21"/>
                <w:lang w:val="zh-CN"/>
              </w:rPr>
              <w:t>、</w:t>
            </w:r>
            <w:r>
              <w:rPr>
                <w:rFonts w:hint="eastAsia" w:ascii="楷体" w:hAnsi="楷体" w:eastAsia="楷体" w:cs="方正楷体简体"/>
                <w:color w:val="000000"/>
                <w:kern w:val="0"/>
                <w:sz w:val="21"/>
                <w:szCs w:val="21"/>
                <w:lang w:val="en-US" w:eastAsia="zh-CN"/>
              </w:rPr>
              <w:t>学工部、</w:t>
            </w:r>
            <w:r>
              <w:rPr>
                <w:rFonts w:hint="eastAsia" w:ascii="楷体" w:hAnsi="楷体" w:eastAsia="楷体" w:cs="方正楷体简体"/>
                <w:color w:val="000000"/>
                <w:kern w:val="0"/>
                <w:sz w:val="21"/>
                <w:szCs w:val="21"/>
                <w:lang w:val="zh-CN"/>
              </w:rPr>
              <w:t>发展规划处</w:t>
            </w:r>
          </w:p>
        </w:tc>
      </w:tr>
      <w:tr>
        <w:tblPrEx>
          <w:tblLayout w:type="fixed"/>
          <w:tblCellMar>
            <w:top w:w="0" w:type="dxa"/>
            <w:left w:w="0" w:type="dxa"/>
            <w:bottom w:w="0" w:type="dxa"/>
            <w:right w:w="0" w:type="dxa"/>
          </w:tblCellMar>
        </w:tblPrEx>
        <w:trPr>
          <w:trHeight w:val="394"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65" w:type="dxa"/>
              <w:left w:w="113" w:type="dxa"/>
              <w:bottom w:w="65" w:type="dxa"/>
              <w:right w:w="113" w:type="dxa"/>
            </w:tcMar>
            <w:vAlign w:val="center"/>
          </w:tcPr>
          <w:p>
            <w:pPr>
              <w:autoSpaceDE w:val="0"/>
              <w:autoSpaceDN w:val="0"/>
              <w:adjustRightInd w:val="0"/>
              <w:spacing w:line="240" w:lineRule="exact"/>
              <w:jc w:val="lef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spacing w:val="-3"/>
                <w:kern w:val="0"/>
                <w:sz w:val="21"/>
                <w:szCs w:val="21"/>
                <w:lang w:val="zh-CN"/>
              </w:rPr>
              <w:t>42.校和院（系）两级教授治学制度健全，学术委员会（教学委员会、学位委员会等）有效履行学术事务的决策、审议、评定和咨询功能。（1分）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校办</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科技处</w:t>
            </w:r>
          </w:p>
        </w:tc>
      </w:tr>
      <w:tr>
        <w:tblPrEx>
          <w:tblLayout w:type="fixed"/>
          <w:tblCellMar>
            <w:top w:w="0" w:type="dxa"/>
            <w:left w:w="0" w:type="dxa"/>
            <w:bottom w:w="0" w:type="dxa"/>
            <w:right w:w="0" w:type="dxa"/>
          </w:tblCellMar>
        </w:tblPrEx>
        <w:trPr>
          <w:trHeight w:val="445"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65" w:type="dxa"/>
              <w:left w:w="113" w:type="dxa"/>
              <w:bottom w:w="65"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43.教职工通过教代会行使民主管理和监督权利，对学校重大改革发展事项提出意见建议，讨论通过与教职工利益直接相关的重要事项，民主评议学校领导干部。（1分）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val="en-US" w:eastAsia="zh-CN"/>
              </w:rPr>
              <w:t>工会</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组织部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65" w:type="dxa"/>
              <w:left w:w="113" w:type="dxa"/>
              <w:bottom w:w="65"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44.校和院（系）两级管理职责清晰。发挥学校理事会（校务委员会）等机构的咨询、协商、审议与监督功能。（1分）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校办</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r>
              <w:rPr>
                <w:rFonts w:hint="eastAsia" w:ascii="楷体" w:hAnsi="楷体" w:eastAsia="楷体" w:cs="方正楷体简体"/>
                <w:color w:val="000000"/>
                <w:kern w:val="0"/>
                <w:sz w:val="21"/>
                <w:szCs w:val="21"/>
                <w:lang w:val="en-US" w:eastAsia="zh-CN"/>
              </w:rPr>
              <w:t>组织部、</w:t>
            </w:r>
            <w:r>
              <w:rPr>
                <w:rFonts w:hint="eastAsia" w:ascii="楷体" w:hAnsi="楷体" w:eastAsia="楷体"/>
                <w:kern w:val="0"/>
                <w:sz w:val="21"/>
                <w:szCs w:val="21"/>
                <w:lang w:eastAsia="zh-CN"/>
              </w:rPr>
              <w:t>人事处</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65" w:type="dxa"/>
              <w:left w:w="113" w:type="dxa"/>
              <w:bottom w:w="65"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45.学生会、研究生会发挥自我教育、管理、服务作用，形成保障学生参与学校民主管理和维护权益的工作机制。（1分）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团委</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各党总支</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65" w:type="dxa"/>
              <w:left w:w="113" w:type="dxa"/>
              <w:bottom w:w="65" w:type="dxa"/>
              <w:right w:w="113" w:type="dxa"/>
            </w:tcMar>
            <w:vAlign w:val="center"/>
          </w:tcPr>
          <w:p>
            <w:pPr>
              <w:autoSpaceDE w:val="0"/>
              <w:autoSpaceDN w:val="0"/>
              <w:adjustRightInd w:val="0"/>
              <w:spacing w:line="240" w:lineRule="exact"/>
              <w:jc w:val="lef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46-1．（公办高校）：严格规范招生、学籍管理、收费和办学办班。建立健全财务预决算制度、内部控制和经济责任审计监督等制度。（1分）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纪</w:t>
            </w:r>
            <w:r>
              <w:rPr>
                <w:rFonts w:hint="eastAsia" w:ascii="楷体" w:hAnsi="楷体" w:eastAsia="楷体"/>
                <w:kern w:val="0"/>
                <w:sz w:val="21"/>
                <w:szCs w:val="21"/>
                <w:lang w:val="en-US" w:eastAsia="zh-CN"/>
              </w:rPr>
              <w:t>监</w:t>
            </w:r>
            <w:r>
              <w:rPr>
                <w:rFonts w:hint="eastAsia" w:ascii="楷体" w:hAnsi="楷体" w:eastAsia="楷体"/>
                <w:kern w:val="0"/>
                <w:sz w:val="21"/>
                <w:szCs w:val="21"/>
                <w:lang w:eastAsia="zh-CN"/>
              </w:rPr>
              <w:t>办</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教务处、学工部、财务处、审计处</w:t>
            </w:r>
          </w:p>
        </w:tc>
      </w:tr>
      <w:tr>
        <w:tblPrEx>
          <w:tblLayout w:type="fixed"/>
          <w:tblCellMar>
            <w:top w:w="0" w:type="dxa"/>
            <w:left w:w="0" w:type="dxa"/>
            <w:bottom w:w="0" w:type="dxa"/>
            <w:right w:w="0" w:type="dxa"/>
          </w:tblCellMar>
        </w:tblPrEx>
        <w:trPr>
          <w:trHeight w:val="283" w:hRule="atLeast"/>
        </w:trPr>
        <w:tc>
          <w:tcPr>
            <w:tcW w:w="893"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4</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内涵发展</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持续</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办学绩效</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显著</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（24分）</w:t>
            </w: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4-14</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师资建设</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（3分）</w:t>
            </w:r>
          </w:p>
        </w:tc>
        <w:tc>
          <w:tcPr>
            <w:tcW w:w="6355" w:type="dxa"/>
            <w:tcBorders>
              <w:top w:val="single" w:color="000000" w:sz="2" w:space="0"/>
              <w:left w:val="single" w:color="000000" w:sz="2" w:space="0"/>
              <w:bottom w:val="single" w:color="000000" w:sz="2" w:space="0"/>
              <w:right w:val="single" w:color="000000" w:sz="2" w:space="0"/>
            </w:tcBorders>
            <w:tcMar>
              <w:top w:w="176" w:type="dxa"/>
              <w:left w:w="113" w:type="dxa"/>
              <w:bottom w:w="17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47.建立规范的教师招聘、培训和管理等制度，建立新聘教师的助教制度。（1分）</w:t>
            </w:r>
          </w:p>
        </w:tc>
        <w:tc>
          <w:tcPr>
            <w:tcW w:w="891" w:type="dxa"/>
            <w:vMerge w:val="restart"/>
            <w:tcBorders>
              <w:top w:val="single" w:color="000000" w:sz="2" w:space="0"/>
              <w:left w:val="single" w:color="000000" w:sz="2" w:space="0"/>
              <w:bottom w:val="nil"/>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人事处</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kern w:val="0"/>
                <w:sz w:val="21"/>
                <w:szCs w:val="21"/>
                <w:lang w:val="en-US" w:eastAsia="zh-CN"/>
              </w:rPr>
              <w:t>教师发展中心</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76" w:type="dxa"/>
              <w:left w:w="113" w:type="dxa"/>
              <w:bottom w:w="17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48.根据学校发展定位和目标，分别针对领军人才、青年骨干人才、教育教学人才、行政管理人才等不同群体，制定培养目标和引进等政策，搭建发展平台，建设人才高地。（2分）</w:t>
            </w:r>
          </w:p>
        </w:tc>
        <w:tc>
          <w:tcPr>
            <w:tcW w:w="891" w:type="dxa"/>
            <w:vMerge w:val="continue"/>
            <w:tcBorders>
              <w:top w:val="nil"/>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人事处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教师发展中心</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4-15</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教育教学</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（6分）</w:t>
            </w:r>
          </w:p>
        </w:tc>
        <w:tc>
          <w:tcPr>
            <w:tcW w:w="6355" w:type="dxa"/>
            <w:tcBorders>
              <w:top w:val="single" w:color="000000" w:sz="2" w:space="0"/>
              <w:left w:val="single" w:color="000000" w:sz="2" w:space="0"/>
              <w:bottom w:val="single" w:color="000000" w:sz="2" w:space="0"/>
              <w:right w:val="single" w:color="000000" w:sz="2" w:space="0"/>
            </w:tcBorders>
            <w:tcMar>
              <w:top w:w="176" w:type="dxa"/>
              <w:left w:w="113" w:type="dxa"/>
              <w:bottom w:w="17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49.学校师资力量、资源配置和工作评价体现教学中心要求。落实骨干教师激励计划，教授、副教授为本科生上课达到90%以上。有完善的教学质量监控体系和教学事故处理机制。（2分）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51.根据条件实地</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查看</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eastAsia="zh-CN"/>
              </w:rPr>
            </w:pPr>
            <w:r>
              <w:rPr>
                <w:rFonts w:hint="eastAsia" w:ascii="楷体" w:hAnsi="楷体" w:eastAsia="楷体" w:cs="方正楷体简体"/>
                <w:color w:val="000000"/>
                <w:kern w:val="0"/>
                <w:sz w:val="21"/>
                <w:szCs w:val="21"/>
                <w:lang w:val="en-US" w:eastAsia="zh-CN"/>
              </w:rPr>
              <w:t>人事处</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eastAsia="zh-CN"/>
              </w:rPr>
            </w:pPr>
            <w:r>
              <w:rPr>
                <w:rFonts w:hint="eastAsia" w:ascii="楷体" w:hAnsi="楷体" w:eastAsia="楷体" w:cs="方正楷体简体"/>
                <w:color w:val="000000"/>
                <w:kern w:val="0"/>
                <w:sz w:val="21"/>
                <w:szCs w:val="21"/>
                <w:lang w:val="en-US" w:eastAsia="zh-CN"/>
              </w:rPr>
              <w:t>组织部、教务处</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76" w:type="dxa"/>
              <w:left w:w="113" w:type="dxa"/>
              <w:bottom w:w="17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50.教学改革成效显著,毕业论文（设计）、实践环节抽查情况优良。有学生满意度调查。（1分）</w:t>
            </w:r>
          </w:p>
        </w:tc>
        <w:tc>
          <w:tcPr>
            <w:tcW w:w="891" w:type="dxa"/>
            <w:vMerge w:val="continue"/>
            <w:tcBorders>
              <w:top w:val="single" w:color="000000" w:sz="2" w:space="0"/>
              <w:left w:val="single" w:color="000000" w:sz="2" w:space="0"/>
              <w:bottom w:val="nil"/>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教务处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各二级学院</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76" w:type="dxa"/>
              <w:left w:w="113" w:type="dxa"/>
              <w:bottom w:w="17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51.面向社会需求，合理设置并不断优化学科和专业，实习实训基地建设满足教学改革要求。（1分）</w:t>
            </w:r>
          </w:p>
        </w:tc>
        <w:tc>
          <w:tcPr>
            <w:tcW w:w="891" w:type="dxa"/>
            <w:vMerge w:val="continue"/>
            <w:tcBorders>
              <w:top w:val="nil"/>
              <w:left w:val="single" w:color="000000" w:sz="2" w:space="0"/>
              <w:bottom w:val="nil"/>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教务处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各二级学院</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76" w:type="dxa"/>
              <w:left w:w="113" w:type="dxa"/>
              <w:bottom w:w="17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52.学校语言文字管理体制机制健全，语言文字使用规范，师生普通话水平测试成绩达标。（1分）</w:t>
            </w:r>
          </w:p>
        </w:tc>
        <w:tc>
          <w:tcPr>
            <w:tcW w:w="891" w:type="dxa"/>
            <w:vMerge w:val="continue"/>
            <w:tcBorders>
              <w:top w:val="nil"/>
              <w:left w:val="single" w:color="000000" w:sz="2" w:space="0"/>
              <w:bottom w:val="nil"/>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教务处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文理学院</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76" w:type="dxa"/>
              <w:left w:w="113" w:type="dxa"/>
              <w:bottom w:w="17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53.广泛开展国际合作，推进师生国际交流，规范管理外国留学生，积极开展中外合作办学。（1分）</w:t>
            </w:r>
          </w:p>
        </w:tc>
        <w:tc>
          <w:tcPr>
            <w:tcW w:w="891" w:type="dxa"/>
            <w:vMerge w:val="continue"/>
            <w:tcBorders>
              <w:top w:val="nil"/>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国际交流处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国际</w:t>
            </w:r>
            <w:r>
              <w:rPr>
                <w:rFonts w:hint="eastAsia" w:ascii="楷体" w:hAnsi="楷体" w:eastAsia="楷体"/>
                <w:kern w:val="0"/>
                <w:sz w:val="21"/>
                <w:szCs w:val="21"/>
                <w:lang w:val="en-US" w:eastAsia="zh-CN"/>
              </w:rPr>
              <w:t>教育</w:t>
            </w:r>
            <w:r>
              <w:rPr>
                <w:rFonts w:hint="eastAsia" w:ascii="楷体" w:hAnsi="楷体" w:eastAsia="楷体"/>
                <w:kern w:val="0"/>
                <w:sz w:val="21"/>
                <w:szCs w:val="21"/>
                <w:lang w:eastAsia="zh-CN"/>
              </w:rPr>
              <w:t>学院</w:t>
            </w:r>
          </w:p>
        </w:tc>
      </w:tr>
      <w:tr>
        <w:tblPrEx>
          <w:tblLayout w:type="fixed"/>
          <w:tblCellMar>
            <w:top w:w="0" w:type="dxa"/>
            <w:left w:w="0" w:type="dxa"/>
            <w:bottom w:w="0" w:type="dxa"/>
            <w:right w:w="0" w:type="dxa"/>
          </w:tblCellMar>
        </w:tblPrEx>
        <w:trPr>
          <w:trHeight w:val="283" w:hRule="atLeast"/>
        </w:trPr>
        <w:tc>
          <w:tcPr>
            <w:tcW w:w="893"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4</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内涵发展</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持续</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办学绩效</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显著</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（24分）</w:t>
            </w: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4-16</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学科科研</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（3分）</w:t>
            </w:r>
          </w:p>
        </w:tc>
        <w:tc>
          <w:tcPr>
            <w:tcW w:w="6355" w:type="dxa"/>
            <w:tcBorders>
              <w:top w:val="single" w:color="000000" w:sz="2" w:space="0"/>
              <w:left w:val="single" w:color="000000" w:sz="2" w:space="0"/>
              <w:bottom w:val="single" w:color="000000" w:sz="2" w:space="0"/>
              <w:right w:val="single" w:color="000000" w:sz="2" w:space="0"/>
            </w:tcBorders>
            <w:tcMar>
              <w:top w:w="136" w:type="dxa"/>
              <w:left w:w="113" w:type="dxa"/>
              <w:bottom w:w="13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54.学科和专业建设（含“高原”“高峰”学科建设）有规划、政策和进展成果。（1分）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eastAsia="zh-CN"/>
              </w:rPr>
            </w:pPr>
            <w:r>
              <w:rPr>
                <w:rFonts w:hint="eastAsia" w:ascii="楷体" w:hAnsi="楷体" w:eastAsia="楷体" w:cs="方正楷体简体"/>
                <w:color w:val="000000"/>
                <w:kern w:val="0"/>
                <w:sz w:val="21"/>
                <w:szCs w:val="21"/>
                <w:lang w:val="en-US" w:eastAsia="zh-CN"/>
              </w:rPr>
              <w:t>科技处</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eastAsia="zh-CN"/>
              </w:rPr>
            </w:pPr>
            <w:r>
              <w:rPr>
                <w:rFonts w:hint="eastAsia" w:ascii="楷体" w:hAnsi="楷体" w:eastAsia="楷体" w:cs="方正楷体简体"/>
                <w:color w:val="000000"/>
                <w:kern w:val="0"/>
                <w:sz w:val="21"/>
                <w:szCs w:val="21"/>
                <w:lang w:val="en-US" w:eastAsia="zh-CN"/>
              </w:rPr>
              <w:t>发展规划处、教务处</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36" w:type="dxa"/>
              <w:left w:w="113" w:type="dxa"/>
              <w:bottom w:w="13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55.科研成果的质量和数量协调发展，协同创新中心、智库建设和科研成果转化有成效。（1分）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科技处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36" w:type="dxa"/>
              <w:left w:w="113" w:type="dxa"/>
              <w:bottom w:w="13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56.改革科研组织、评价、投入等机制，形成比较完善的产学研合作和协同创新机制。（1分）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textAlignment w:val="center"/>
              <w:rPr>
                <w:rFonts w:hint="eastAsia" w:ascii="楷体" w:hAnsi="楷体" w:eastAsia="楷体" w:cstheme="minorBidi"/>
                <w:kern w:val="0"/>
                <w:sz w:val="21"/>
                <w:szCs w:val="21"/>
                <w:lang w:val="en-US" w:eastAsia="zh-CN" w:bidi="ar-SA"/>
              </w:rPr>
            </w:pPr>
            <w:r>
              <w:rPr>
                <w:rFonts w:hint="eastAsia" w:ascii="楷体" w:hAnsi="楷体" w:eastAsia="楷体" w:cs="方正楷体简体"/>
                <w:color w:val="000000"/>
                <w:kern w:val="0"/>
                <w:sz w:val="21"/>
                <w:szCs w:val="21"/>
                <w:lang w:val="en-US" w:eastAsia="zh-CN"/>
              </w:rPr>
              <w:t>科技处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4-17</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学生工作</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（4分）</w:t>
            </w:r>
          </w:p>
        </w:tc>
        <w:tc>
          <w:tcPr>
            <w:tcW w:w="6355" w:type="dxa"/>
            <w:tcBorders>
              <w:top w:val="single" w:color="000000" w:sz="2" w:space="0"/>
              <w:left w:val="single" w:color="000000" w:sz="2" w:space="0"/>
              <w:bottom w:val="single" w:color="000000" w:sz="2" w:space="0"/>
              <w:right w:val="single" w:color="000000" w:sz="2" w:space="0"/>
            </w:tcBorders>
            <w:tcMar>
              <w:top w:w="136" w:type="dxa"/>
              <w:left w:w="113" w:type="dxa"/>
              <w:bottom w:w="13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57.学风建设有计划、有措施、有经常性教育活动。学生遵守学校各项规章制度，学习风气良好。（1分）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58.根据条件实地</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查看</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学工部</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36" w:type="dxa"/>
              <w:left w:w="113" w:type="dxa"/>
              <w:bottom w:w="13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58.心理健康教育有专门机构和相应场所、设施保障，通过上海高校学生心理健康教育工作评估并达标，按1:3000师生比配备专职心理教师。有工作网络和心理危机预警干预机制。建立新生心理健康普查制度和学生心理档案。（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学工部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思政部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36" w:type="dxa"/>
              <w:left w:w="113" w:type="dxa"/>
              <w:bottom w:w="13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59.学生职业生涯指导体系完善，生涯教育全覆盖。创业教育和实践形成体系。经济困难学生就业率不低于全校平均水平。鼓励和引导毕业生到基层和西部就业政策落实。及时、全面公布年度就业质量报告。</w:t>
            </w:r>
          </w:p>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学工部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136" w:type="dxa"/>
              <w:left w:w="113" w:type="dxa"/>
              <w:bottom w:w="136"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60.学生资助制度健全，措施落实，按1：2500比例配备专职人员。有专项基金，总额为当年学校事业收入的4-6%。畅通入学绿色通道，社会参与资助和勤工助学开展有成效。无学生因贫困辍学。（1分）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学工部</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p>
        </w:tc>
      </w:tr>
      <w:tr>
        <w:tblPrEx>
          <w:tblLayout w:type="fixed"/>
          <w:tblCellMar>
            <w:top w:w="0" w:type="dxa"/>
            <w:left w:w="0" w:type="dxa"/>
            <w:bottom w:w="0" w:type="dxa"/>
            <w:right w:w="0" w:type="dxa"/>
          </w:tblCellMar>
        </w:tblPrEx>
        <w:trPr>
          <w:trHeight w:val="283" w:hRule="atLeast"/>
        </w:trPr>
        <w:tc>
          <w:tcPr>
            <w:tcW w:w="893"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 xml:space="preserve">5 </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平安健康</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达标</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校园环境</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优化</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（11分）</w:t>
            </w: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5-18</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平安校园</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（4分）</w:t>
            </w:r>
          </w:p>
        </w:tc>
        <w:tc>
          <w:tcPr>
            <w:tcW w:w="6355" w:type="dxa"/>
            <w:tcBorders>
              <w:top w:val="single" w:color="000000" w:sz="2" w:space="0"/>
              <w:left w:val="single" w:color="000000" w:sz="2" w:space="0"/>
              <w:bottom w:val="single" w:color="000000" w:sz="2" w:space="0"/>
              <w:right w:val="single" w:color="000000" w:sz="2" w:space="0"/>
            </w:tcBorders>
            <w:tcMar>
              <w:top w:w="88" w:type="dxa"/>
              <w:left w:w="113" w:type="dxa"/>
              <w:bottom w:w="88"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61.建立学校平安单位创建工作机制，签订安全责任书，建立健全安全、稳定、保卫、保密、紧急信息报送等工作制度。对重大改革举措进行安全稳定风险评估。师生员工对平安单位创建活动的知晓率和参与率达到90%以上。（1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61．问卷调查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63.实地</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查看</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保卫处</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88" w:type="dxa"/>
              <w:left w:w="113" w:type="dxa"/>
              <w:bottom w:w="88" w:type="dxa"/>
              <w:right w:w="113" w:type="dxa"/>
            </w:tcMar>
            <w:vAlign w:val="center"/>
          </w:tcPr>
          <w:p>
            <w:pPr>
              <w:autoSpaceDE w:val="0"/>
              <w:autoSpaceDN w:val="0"/>
              <w:adjustRightInd w:val="0"/>
              <w:spacing w:line="240" w:lineRule="exact"/>
              <w:ind w:left="4" w:leftChars="2"/>
              <w:jc w:val="left"/>
              <w:textAlignment w:val="center"/>
              <w:rPr>
                <w:rFonts w:hint="eastAsia" w:ascii="楷体" w:hAnsi="楷体" w:eastAsia="楷体" w:cs="方正楷体简体"/>
                <w:color w:val="000000"/>
                <w:w w:val="99"/>
                <w:kern w:val="0"/>
                <w:sz w:val="21"/>
                <w:szCs w:val="21"/>
                <w:lang w:val="zh-CN"/>
              </w:rPr>
            </w:pPr>
            <w:r>
              <w:rPr>
                <w:rFonts w:hint="eastAsia" w:ascii="楷体" w:hAnsi="楷体" w:eastAsia="楷体" w:cs="方正楷体简体"/>
                <w:color w:val="000000"/>
                <w:w w:val="99"/>
                <w:kern w:val="0"/>
                <w:sz w:val="21"/>
                <w:szCs w:val="21"/>
                <w:lang w:val="zh-CN"/>
              </w:rPr>
              <w:t>62.建立和完善学校突发事件工作预案，突发事件处置快速有效。（1分）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保卫处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校办</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88" w:type="dxa"/>
              <w:left w:w="113" w:type="dxa"/>
              <w:bottom w:w="88"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63.定期开展重点场所防火、防盗、防爆检查。校内交通规划合理，交通设施和标识完备，清楚醒目。规范校园实有房屋、实有人口管理。开展校外住宿学生的教育和管理。技防系统建设达标，人防、物防、技防联动。有效整治校园周边环境。（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保卫处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r>
              <w:rPr>
                <w:rFonts w:hint="eastAsia" w:ascii="楷体" w:hAnsi="楷体" w:eastAsia="楷体"/>
                <w:kern w:val="0"/>
                <w:sz w:val="21"/>
                <w:szCs w:val="21"/>
                <w:lang w:val="en-US" w:eastAsia="zh-CN"/>
              </w:rPr>
              <w:t>资产后勤处</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88" w:type="dxa"/>
              <w:left w:w="113" w:type="dxa"/>
              <w:bottom w:w="88"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64.大学生安全教育进课堂，定期组织逃生等防灾演练。（1分）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r>
              <w:rPr>
                <w:rFonts w:hint="eastAsia" w:ascii="楷体" w:hAnsi="楷体" w:eastAsia="楷体"/>
                <w:kern w:val="0"/>
                <w:sz w:val="21"/>
                <w:szCs w:val="21"/>
                <w:lang w:eastAsia="zh-CN"/>
              </w:rPr>
              <w:t>保卫处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教务处、学工部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5-19</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健康校园</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（3分）</w:t>
            </w:r>
          </w:p>
        </w:tc>
        <w:tc>
          <w:tcPr>
            <w:tcW w:w="6355" w:type="dxa"/>
            <w:tcBorders>
              <w:top w:val="single" w:color="000000" w:sz="2" w:space="0"/>
              <w:left w:val="single" w:color="000000" w:sz="2" w:space="0"/>
              <w:bottom w:val="single" w:color="000000" w:sz="2" w:space="0"/>
              <w:right w:val="single" w:color="000000" w:sz="2" w:space="0"/>
            </w:tcBorders>
            <w:tcMar>
              <w:top w:w="88" w:type="dxa"/>
              <w:left w:w="113" w:type="dxa"/>
              <w:bottom w:w="88"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spacing w:val="-10"/>
                <w:kern w:val="0"/>
                <w:sz w:val="21"/>
                <w:szCs w:val="21"/>
                <w:lang w:val="zh-CN"/>
              </w:rPr>
              <w:t>65.深化体育课程改革，开展阳光体育运动，坚持每天一小时校园体育活动，学生体质水平达标。体育场馆设施完善，管理规范，使用充分。（2分）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实地查看</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文理学院</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88" w:type="dxa"/>
              <w:left w:w="113" w:type="dxa"/>
              <w:bottom w:w="88"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66.学校卫生机构健全，按学生数不低于400：1、教职工数不低于300：1配备卫生保健人员；学校卫生工作管理规范，健全传染病预防体系。学生健康体检率达到100%。落实健康教育课（活动）及预防艾滋病等教育。无烟学校达标。（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资产后勤处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val="en-US" w:eastAsia="zh-CN"/>
              </w:rPr>
            </w:pPr>
            <w:r>
              <w:rPr>
                <w:rFonts w:hint="eastAsia" w:ascii="楷体" w:hAnsi="楷体" w:eastAsia="楷体"/>
                <w:kern w:val="0"/>
                <w:sz w:val="21"/>
                <w:szCs w:val="21"/>
                <w:lang w:val="en-US" w:eastAsia="zh-CN"/>
              </w:rPr>
              <w:t>教务处、学工部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5-20</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后勤服务</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（2分）</w:t>
            </w:r>
          </w:p>
        </w:tc>
        <w:tc>
          <w:tcPr>
            <w:tcW w:w="6355" w:type="dxa"/>
            <w:tcBorders>
              <w:top w:val="single" w:color="000000" w:sz="2" w:space="0"/>
              <w:left w:val="single" w:color="000000" w:sz="2" w:space="0"/>
              <w:bottom w:val="single" w:color="000000" w:sz="2" w:space="0"/>
              <w:right w:val="single" w:color="000000" w:sz="2" w:space="0"/>
            </w:tcBorders>
            <w:tcMar>
              <w:top w:w="88" w:type="dxa"/>
              <w:left w:w="113" w:type="dxa"/>
              <w:bottom w:w="88"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67．学校食堂设施齐全，价格合理，确保卫生安全。满足少数民族饮食需求。师生对伙食工作满意率达到80%以上。（1分）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实地查看</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问卷调查</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kern w:val="0"/>
                <w:sz w:val="21"/>
                <w:szCs w:val="21"/>
                <w:lang w:eastAsia="zh-CN"/>
              </w:rPr>
              <w:t>资产后勤处</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88" w:type="dxa"/>
              <w:left w:w="113" w:type="dxa"/>
              <w:bottom w:w="88"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68.校内生活设施齐全完好，服务规范，监管有力。师生对后勤各项服务工作满意率达到85%以上。（1分）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r>
              <w:rPr>
                <w:rFonts w:hint="eastAsia" w:ascii="楷体" w:hAnsi="楷体" w:eastAsia="楷体"/>
                <w:kern w:val="0"/>
                <w:sz w:val="21"/>
                <w:szCs w:val="21"/>
                <w:lang w:eastAsia="zh-CN"/>
              </w:rPr>
              <w:t>资产后勤处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p>
        </w:tc>
      </w:tr>
      <w:tr>
        <w:tblPrEx>
          <w:tblLayout w:type="fixed"/>
          <w:tblCellMar>
            <w:top w:w="0" w:type="dxa"/>
            <w:left w:w="0" w:type="dxa"/>
            <w:bottom w:w="0" w:type="dxa"/>
            <w:right w:w="0" w:type="dxa"/>
          </w:tblCellMar>
        </w:tblPrEx>
        <w:trPr>
          <w:trHeight w:val="535" w:hRule="atLeast"/>
        </w:trPr>
        <w:tc>
          <w:tcPr>
            <w:tcW w:w="893"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 xml:space="preserve">5 </w:t>
            </w:r>
            <w:r>
              <w:rPr>
                <w:rFonts w:hint="eastAsia" w:ascii="楷体" w:hAnsi="楷体" w:eastAsia="楷体" w:cs="微软雅黑"/>
                <w:color w:val="000000"/>
                <w:kern w:val="0"/>
                <w:sz w:val="21"/>
                <w:szCs w:val="21"/>
                <w:lang w:val="zh-CN"/>
              </w:rPr>
              <w:br w:type="textWrapping"/>
            </w:r>
            <w:r>
              <w:rPr>
                <w:rFonts w:hint="eastAsia" w:ascii="楷体" w:hAnsi="楷体" w:eastAsia="楷体" w:cs="微软雅黑"/>
                <w:color w:val="000000"/>
                <w:kern w:val="0"/>
                <w:sz w:val="21"/>
                <w:szCs w:val="21"/>
                <w:lang w:val="zh-CN"/>
              </w:rPr>
              <w:t>平安健康</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达标校园</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环境优化</w:t>
            </w:r>
            <w:r>
              <w:rPr>
                <w:rFonts w:hint="eastAsia" w:ascii="楷体" w:hAnsi="楷体" w:eastAsia="楷体" w:cs="微软雅黑"/>
                <w:color w:val="000000"/>
                <w:kern w:val="0"/>
                <w:sz w:val="21"/>
                <w:szCs w:val="21"/>
                <w:lang w:val="zh-CN"/>
              </w:rPr>
              <w:br w:type="textWrapping"/>
            </w:r>
            <w:r>
              <w:rPr>
                <w:rFonts w:hint="eastAsia" w:ascii="楷体" w:hAnsi="楷体" w:eastAsia="楷体" w:cs="微软雅黑"/>
                <w:color w:val="000000"/>
                <w:kern w:val="0"/>
                <w:sz w:val="21"/>
                <w:szCs w:val="21"/>
                <w:lang w:val="zh-CN"/>
              </w:rPr>
              <w:t>（11分）</w:t>
            </w: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5-21</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生态校园</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（2分）</w:t>
            </w:r>
          </w:p>
        </w:tc>
        <w:tc>
          <w:tcPr>
            <w:tcW w:w="6355" w:type="dxa"/>
            <w:tcBorders>
              <w:top w:val="single" w:color="000000" w:sz="2" w:space="0"/>
              <w:left w:val="single" w:color="000000" w:sz="2" w:space="0"/>
              <w:bottom w:val="single" w:color="000000" w:sz="2" w:space="0"/>
              <w:right w:val="single" w:color="000000" w:sz="2" w:space="0"/>
            </w:tcBorders>
            <w:tcMar>
              <w:top w:w="320" w:type="dxa"/>
              <w:left w:w="113" w:type="dxa"/>
              <w:bottom w:w="320"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69.推进生活垃圾、餐厨垃圾分类减量处置。学校绿化规划和管理科学，校园绿化率35%以上。校园、宿舍内外环境整洁，学生生活园区文化氛围浓郁。（1分）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69.实地</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查看</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kern w:val="0"/>
                <w:sz w:val="21"/>
                <w:szCs w:val="21"/>
                <w:lang w:eastAsia="zh-CN"/>
              </w:rPr>
              <w:t>资产后勤处</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en-US" w:eastAsia="zh-CN"/>
              </w:rPr>
            </w:pPr>
            <w:r>
              <w:rPr>
                <w:rFonts w:hint="eastAsia" w:ascii="楷体" w:hAnsi="楷体" w:eastAsia="楷体" w:cs="方正楷体简体"/>
                <w:color w:val="000000"/>
                <w:kern w:val="0"/>
                <w:sz w:val="21"/>
                <w:szCs w:val="21"/>
                <w:lang w:val="en-US" w:eastAsia="zh-CN"/>
              </w:rPr>
              <w:t>学工部、团委</w:t>
            </w:r>
          </w:p>
        </w:tc>
      </w:tr>
      <w:tr>
        <w:tblPrEx>
          <w:tblLayout w:type="fixed"/>
          <w:tblCellMar>
            <w:top w:w="0" w:type="dxa"/>
            <w:left w:w="0" w:type="dxa"/>
            <w:bottom w:w="0" w:type="dxa"/>
            <w:right w:w="0" w:type="dxa"/>
          </w:tblCellMar>
        </w:tblPrEx>
        <w:trPr>
          <w:trHeight w:val="670"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320" w:type="dxa"/>
              <w:left w:w="113" w:type="dxa"/>
              <w:bottom w:w="320"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70.落实节约型校园、节水型学校创建要求，形成创建特色。低碳节能教育有举措、有成效。（1分）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r>
              <w:rPr>
                <w:rFonts w:hint="eastAsia" w:ascii="楷体" w:hAnsi="楷体" w:eastAsia="楷体"/>
                <w:kern w:val="0"/>
                <w:sz w:val="21"/>
                <w:szCs w:val="21"/>
                <w:lang w:eastAsia="zh-CN"/>
              </w:rPr>
              <w:t>资产后勤处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rPr>
            </w:pPr>
          </w:p>
        </w:tc>
      </w:tr>
      <w:tr>
        <w:tblPrEx>
          <w:tblLayout w:type="fixed"/>
          <w:tblCellMar>
            <w:top w:w="0" w:type="dxa"/>
            <w:left w:w="0" w:type="dxa"/>
            <w:bottom w:w="0" w:type="dxa"/>
            <w:right w:w="0" w:type="dxa"/>
          </w:tblCellMar>
        </w:tblPrEx>
        <w:trPr>
          <w:trHeight w:val="283" w:hRule="atLeast"/>
        </w:trPr>
        <w:tc>
          <w:tcPr>
            <w:tcW w:w="893"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6</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社会责任</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担当</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学校形象</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良好</w:t>
            </w:r>
          </w:p>
          <w:p>
            <w:pPr>
              <w:autoSpaceDE w:val="0"/>
              <w:autoSpaceDN w:val="0"/>
              <w:adjustRightInd w:val="0"/>
              <w:spacing w:line="240" w:lineRule="exact"/>
              <w:jc w:val="center"/>
              <w:textAlignment w:val="center"/>
              <w:rPr>
                <w:rFonts w:hint="eastAsia" w:ascii="楷体" w:hAnsi="楷体" w:eastAsia="楷体" w:cs="微软雅黑"/>
                <w:color w:val="000000"/>
                <w:kern w:val="0"/>
                <w:sz w:val="21"/>
                <w:szCs w:val="21"/>
                <w:lang w:val="zh-CN"/>
              </w:rPr>
            </w:pPr>
            <w:r>
              <w:rPr>
                <w:rFonts w:hint="eastAsia" w:ascii="楷体" w:hAnsi="楷体" w:eastAsia="楷体" w:cs="微软雅黑"/>
                <w:color w:val="000000"/>
                <w:kern w:val="0"/>
                <w:sz w:val="21"/>
                <w:szCs w:val="21"/>
                <w:lang w:val="zh-CN"/>
              </w:rPr>
              <w:t>（5分）</w:t>
            </w:r>
          </w:p>
        </w:tc>
        <w:tc>
          <w:tcPr>
            <w:tcW w:w="919"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rPr>
            </w:pPr>
            <w:r>
              <w:rPr>
                <w:rFonts w:hint="eastAsia" w:ascii="楷体" w:hAnsi="楷体" w:eastAsia="楷体" w:cs="方正楷体简体"/>
                <w:color w:val="000000"/>
                <w:kern w:val="0"/>
                <w:sz w:val="21"/>
                <w:szCs w:val="21"/>
              </w:rPr>
              <w:t>6-22</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rPr>
            </w:pPr>
            <w:r>
              <w:rPr>
                <w:rFonts w:hint="eastAsia" w:ascii="楷体" w:hAnsi="楷体" w:eastAsia="楷体" w:cs="方正楷体简体"/>
                <w:color w:val="000000"/>
                <w:kern w:val="0"/>
                <w:sz w:val="21"/>
                <w:szCs w:val="21"/>
              </w:rPr>
              <w:t>志愿服务</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rPr>
              <w:t>（2分）</w:t>
            </w:r>
          </w:p>
        </w:tc>
        <w:tc>
          <w:tcPr>
            <w:tcW w:w="6355" w:type="dxa"/>
            <w:tcBorders>
              <w:top w:val="single" w:color="000000" w:sz="2" w:space="0"/>
              <w:left w:val="single" w:color="000000" w:sz="2" w:space="0"/>
              <w:bottom w:val="single" w:color="000000" w:sz="2" w:space="0"/>
              <w:right w:val="single" w:color="000000" w:sz="2" w:space="0"/>
            </w:tcBorders>
            <w:tcMar>
              <w:top w:w="320" w:type="dxa"/>
              <w:left w:w="113" w:type="dxa"/>
              <w:bottom w:w="320"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71.积极宣传志愿者精神，学雷锋等志愿服务活动常态化。建立志愿者服务基地，培育志愿服务品牌，师生员工志愿服务参与率达到40%以上，党员志愿服务参与率达到95%以上。（2分）</w:t>
            </w:r>
          </w:p>
        </w:tc>
        <w:tc>
          <w:tcPr>
            <w:tcW w:w="891"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听取意见</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72.社会</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测评</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团委</w:t>
            </w:r>
          </w:p>
        </w:tc>
        <w:tc>
          <w:tcPr>
            <w:tcW w:w="891" w:type="dxa"/>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工会、</w:t>
            </w:r>
            <w:r>
              <w:rPr>
                <w:rFonts w:hint="eastAsia" w:ascii="楷体" w:hAnsi="楷体" w:eastAsia="楷体" w:cs="方正楷体简体"/>
                <w:color w:val="000000"/>
                <w:kern w:val="0"/>
                <w:sz w:val="21"/>
                <w:szCs w:val="21"/>
                <w:lang w:val="en-US" w:eastAsia="zh-CN"/>
              </w:rPr>
              <w:t>组织部、</w:t>
            </w:r>
            <w:r>
              <w:rPr>
                <w:rFonts w:hint="eastAsia" w:ascii="楷体" w:hAnsi="楷体" w:eastAsia="楷体" w:cs="方正楷体简体"/>
                <w:color w:val="000000"/>
                <w:kern w:val="0"/>
                <w:sz w:val="21"/>
                <w:szCs w:val="21"/>
                <w:lang w:val="zh-CN"/>
              </w:rPr>
              <w:t>各党总支、</w:t>
            </w:r>
            <w:r>
              <w:rPr>
                <w:rFonts w:hint="eastAsia" w:ascii="楷体" w:hAnsi="楷体" w:eastAsia="楷体" w:cs="方正楷体简体"/>
                <w:color w:val="000000"/>
                <w:kern w:val="0"/>
                <w:sz w:val="21"/>
                <w:szCs w:val="21"/>
                <w:lang w:val="en-US" w:eastAsia="zh-CN"/>
              </w:rPr>
              <w:t>各直属党支部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restart"/>
            <w:tcBorders>
              <w:top w:val="single" w:color="000000" w:sz="2" w:space="0"/>
              <w:left w:val="single" w:color="000000" w:sz="2" w:space="0"/>
              <w:bottom w:val="single" w:color="000000" w:sz="2" w:space="0"/>
              <w:right w:val="single" w:color="000000" w:sz="2"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6-23</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共建共享</w:t>
            </w:r>
          </w:p>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（3分）</w:t>
            </w:r>
          </w:p>
        </w:tc>
        <w:tc>
          <w:tcPr>
            <w:tcW w:w="6355" w:type="dxa"/>
            <w:tcBorders>
              <w:top w:val="single" w:color="000000" w:sz="2" w:space="0"/>
              <w:left w:val="single" w:color="000000" w:sz="2" w:space="0"/>
              <w:bottom w:val="single" w:color="000000" w:sz="2" w:space="0"/>
              <w:right w:val="single" w:color="000000" w:sz="2" w:space="0"/>
            </w:tcBorders>
            <w:tcMar>
              <w:top w:w="320" w:type="dxa"/>
              <w:left w:w="113" w:type="dxa"/>
              <w:bottom w:w="320"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72.发挥高校优势，开放学校科研体育文化等资源，积极参与未成年人思想道德建设、学习型社会和社区文明创建、大众创新创业等活动。社区对文明单位社区责任的满意率达到90%以上。（2分）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val="en-US" w:eastAsia="zh-CN"/>
              </w:rPr>
              <w:t>文理学院</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val="en-US" w:eastAsia="zh-CN"/>
              </w:rPr>
              <w:t>相关学院、</w:t>
            </w:r>
            <w:bookmarkStart w:id="0" w:name="_GoBack"/>
            <w:bookmarkEnd w:id="0"/>
            <w:r>
              <w:rPr>
                <w:rFonts w:hint="eastAsia" w:ascii="楷体" w:hAnsi="楷体" w:eastAsia="楷体"/>
                <w:kern w:val="0"/>
                <w:sz w:val="21"/>
                <w:szCs w:val="21"/>
                <w:lang w:val="en-US" w:eastAsia="zh-CN"/>
              </w:rPr>
              <w:t>学工部、宣传部</w:t>
            </w:r>
          </w:p>
        </w:tc>
      </w:tr>
      <w:tr>
        <w:tblPrEx>
          <w:tblLayout w:type="fixed"/>
          <w:tblCellMar>
            <w:top w:w="0" w:type="dxa"/>
            <w:left w:w="0" w:type="dxa"/>
            <w:bottom w:w="0" w:type="dxa"/>
            <w:right w:w="0" w:type="dxa"/>
          </w:tblCellMar>
        </w:tblPrEx>
        <w:trPr>
          <w:trHeight w:val="283" w:hRule="atLeast"/>
        </w:trPr>
        <w:tc>
          <w:tcPr>
            <w:tcW w:w="893"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919"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6355" w:type="dxa"/>
            <w:tcBorders>
              <w:top w:val="single" w:color="000000" w:sz="2" w:space="0"/>
              <w:left w:val="single" w:color="000000" w:sz="2" w:space="0"/>
              <w:bottom w:val="single" w:color="000000" w:sz="2" w:space="0"/>
              <w:right w:val="single" w:color="000000" w:sz="2" w:space="0"/>
            </w:tcBorders>
            <w:tcMar>
              <w:top w:w="320" w:type="dxa"/>
              <w:left w:w="113" w:type="dxa"/>
              <w:bottom w:w="320" w:type="dxa"/>
              <w:right w:w="113"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73.落实献血任务，完成征兵计划，开展拥军优属、双结对、社会捐助等公益活动。（1分）</w:t>
            </w:r>
          </w:p>
        </w:tc>
        <w:tc>
          <w:tcPr>
            <w:tcW w:w="891" w:type="dxa"/>
            <w:vMerge w:val="continue"/>
            <w:tcBorders>
              <w:top w:val="single" w:color="000000" w:sz="2" w:space="0"/>
              <w:left w:val="single" w:color="000000" w:sz="2" w:space="0"/>
              <w:bottom w:val="single" w:color="000000" w:sz="2" w:space="0"/>
              <w:right w:val="single" w:color="000000" w:sz="2" w:space="0"/>
            </w:tcBorders>
          </w:tcPr>
          <w:p>
            <w:pPr>
              <w:autoSpaceDE w:val="0"/>
              <w:autoSpaceDN w:val="0"/>
              <w:adjustRightInd w:val="0"/>
              <w:spacing w:line="240" w:lineRule="exact"/>
              <w:jc w:val="left"/>
              <w:rPr>
                <w:rFonts w:hint="eastAsia" w:ascii="楷体" w:hAnsi="楷体" w:eastAsia="楷体"/>
                <w:kern w:val="0"/>
                <w:sz w:val="21"/>
                <w:szCs w:val="21"/>
              </w:rPr>
            </w:pP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eastAsia="zh-CN"/>
              </w:rPr>
              <w:t>保卫处</w:t>
            </w:r>
          </w:p>
        </w:tc>
        <w:tc>
          <w:tcPr>
            <w:tcW w:w="891" w:type="dxa"/>
            <w:tcBorders>
              <w:top w:val="single" w:color="000000" w:sz="2" w:space="0"/>
              <w:left w:val="single" w:color="000000" w:sz="2" w:space="0"/>
              <w:bottom w:val="single" w:color="000000" w:sz="2" w:space="0"/>
              <w:right w:val="single" w:color="000000" w:sz="2" w:space="0"/>
            </w:tcBorders>
            <w:vAlign w:val="center"/>
          </w:tcPr>
          <w:p>
            <w:pPr>
              <w:autoSpaceDE w:val="0"/>
              <w:autoSpaceDN w:val="0"/>
              <w:adjustRightInd w:val="0"/>
              <w:spacing w:line="240" w:lineRule="exact"/>
              <w:jc w:val="center"/>
              <w:rPr>
                <w:rFonts w:hint="eastAsia" w:ascii="楷体" w:hAnsi="楷体" w:eastAsia="楷体"/>
                <w:kern w:val="0"/>
                <w:sz w:val="21"/>
                <w:szCs w:val="21"/>
                <w:lang w:eastAsia="zh-CN"/>
              </w:rPr>
            </w:pPr>
            <w:r>
              <w:rPr>
                <w:rFonts w:hint="eastAsia" w:ascii="楷体" w:hAnsi="楷体" w:eastAsia="楷体"/>
                <w:kern w:val="0"/>
                <w:sz w:val="21"/>
                <w:szCs w:val="21"/>
                <w:lang w:val="en-US" w:eastAsia="zh-CN"/>
              </w:rPr>
              <w:t>学工部、工会、组织部、资产后勤处</w:t>
            </w:r>
          </w:p>
        </w:tc>
      </w:tr>
    </w:tbl>
    <w:p>
      <w:pPr>
        <w:widowControl/>
        <w:jc w:val="center"/>
        <w:rPr>
          <w:rFonts w:hint="eastAsia" w:ascii="黑体" w:hAnsi="黑体" w:eastAsia="黑体" w:cs="方正黑体简体"/>
          <w:color w:val="000000"/>
          <w:kern w:val="0"/>
          <w:sz w:val="21"/>
          <w:szCs w:val="21"/>
          <w:lang w:val="zh-CN"/>
        </w:rPr>
      </w:pPr>
      <w:r>
        <w:rPr>
          <w:rFonts w:ascii="仿宋_GB2312" w:eastAsia="仿宋_GB2312" w:cs="方正黑体简体"/>
          <w:color w:val="000000"/>
          <w:kern w:val="0"/>
          <w:sz w:val="21"/>
          <w:szCs w:val="21"/>
          <w:lang w:val="zh-CN"/>
        </w:rPr>
        <w:br w:type="page"/>
      </w:r>
      <w:r>
        <w:rPr>
          <w:rFonts w:hint="eastAsia" w:ascii="黑体" w:hAnsi="黑体" w:eastAsia="黑体" w:cs="方正黑体简体"/>
          <w:color w:val="000000"/>
          <w:kern w:val="0"/>
          <w:sz w:val="21"/>
          <w:szCs w:val="21"/>
          <w:lang w:val="zh-CN"/>
        </w:rPr>
        <w:t>二、特色指标（共10分）</w:t>
      </w:r>
    </w:p>
    <w:tbl>
      <w:tblPr>
        <w:tblStyle w:val="6"/>
        <w:tblW w:w="10783" w:type="dxa"/>
        <w:tblInd w:w="0" w:type="dxa"/>
        <w:tblLayout w:type="fixed"/>
        <w:tblCellMar>
          <w:top w:w="0" w:type="dxa"/>
          <w:left w:w="0" w:type="dxa"/>
          <w:bottom w:w="0" w:type="dxa"/>
          <w:right w:w="0" w:type="dxa"/>
        </w:tblCellMar>
      </w:tblPr>
      <w:tblGrid>
        <w:gridCol w:w="672"/>
        <w:gridCol w:w="7132"/>
        <w:gridCol w:w="2336"/>
        <w:gridCol w:w="643"/>
      </w:tblGrid>
      <w:tr>
        <w:tblPrEx>
          <w:tblLayout w:type="fixed"/>
          <w:tblCellMar>
            <w:top w:w="0" w:type="dxa"/>
            <w:left w:w="0" w:type="dxa"/>
            <w:bottom w:w="0" w:type="dxa"/>
            <w:right w:w="0" w:type="dxa"/>
          </w:tblCellMar>
        </w:tblPrEx>
        <w:trPr>
          <w:trHeight w:val="20" w:hRule="atLeast"/>
        </w:trPr>
        <w:tc>
          <w:tcPr>
            <w:tcW w:w="672" w:type="dxa"/>
            <w:tcBorders>
              <w:top w:val="single" w:color="000000" w:sz="4" w:space="0"/>
              <w:left w:val="single" w:color="000000" w:sz="4" w:space="0"/>
              <w:bottom w:val="single" w:color="000000" w:sz="4" w:space="0"/>
              <w:right w:val="single" w:color="000000" w:sz="4"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黑体" w:hAnsi="黑体" w:eastAsia="黑体" w:cs="方正黑体简体"/>
                <w:color w:val="000000"/>
                <w:kern w:val="0"/>
                <w:sz w:val="21"/>
                <w:szCs w:val="21"/>
                <w:lang w:val="zh-CN"/>
              </w:rPr>
            </w:pPr>
            <w:r>
              <w:rPr>
                <w:rFonts w:hint="eastAsia" w:ascii="黑体" w:hAnsi="黑体" w:eastAsia="黑体" w:cs="方正黑体简体"/>
                <w:color w:val="000000"/>
                <w:kern w:val="0"/>
                <w:sz w:val="21"/>
                <w:szCs w:val="21"/>
                <w:lang w:val="zh-CN"/>
              </w:rPr>
              <w:t>序号</w:t>
            </w:r>
          </w:p>
        </w:tc>
        <w:tc>
          <w:tcPr>
            <w:tcW w:w="7132" w:type="dxa"/>
            <w:tcBorders>
              <w:top w:val="single" w:color="000000" w:sz="4" w:space="0"/>
              <w:left w:val="single" w:color="000000" w:sz="4" w:space="0"/>
              <w:bottom w:val="single" w:color="000000" w:sz="4" w:space="0"/>
              <w:right w:val="single" w:color="000000" w:sz="4" w:space="0"/>
            </w:tcBorders>
            <w:tcMar>
              <w:top w:w="113" w:type="dxa"/>
              <w:left w:w="108" w:type="dxa"/>
              <w:bottom w:w="113" w:type="dxa"/>
              <w:right w:w="108" w:type="dxa"/>
            </w:tcMar>
            <w:vAlign w:val="center"/>
          </w:tcPr>
          <w:p>
            <w:pPr>
              <w:autoSpaceDE w:val="0"/>
              <w:autoSpaceDN w:val="0"/>
              <w:adjustRightInd w:val="0"/>
              <w:spacing w:line="240" w:lineRule="exact"/>
              <w:jc w:val="center"/>
              <w:textAlignment w:val="center"/>
              <w:rPr>
                <w:rFonts w:hint="eastAsia" w:ascii="黑体" w:hAnsi="黑体" w:eastAsia="黑体" w:cs="方正黑体简体"/>
                <w:color w:val="000000"/>
                <w:kern w:val="0"/>
                <w:sz w:val="21"/>
                <w:szCs w:val="21"/>
                <w:lang w:val="zh-CN"/>
              </w:rPr>
            </w:pPr>
            <w:r>
              <w:rPr>
                <w:rFonts w:hint="eastAsia" w:ascii="黑体" w:hAnsi="黑体" w:eastAsia="黑体" w:cs="方正黑体简体"/>
                <w:color w:val="000000"/>
                <w:kern w:val="0"/>
                <w:sz w:val="21"/>
                <w:szCs w:val="21"/>
                <w:lang w:val="zh-CN"/>
              </w:rPr>
              <w:t>指标名称</w:t>
            </w:r>
          </w:p>
        </w:tc>
        <w:tc>
          <w:tcPr>
            <w:tcW w:w="2336" w:type="dxa"/>
            <w:tcBorders>
              <w:top w:val="single" w:color="000000" w:sz="4" w:space="0"/>
              <w:left w:val="single" w:color="000000" w:sz="4" w:space="0"/>
              <w:bottom w:val="single" w:color="000000" w:sz="4" w:space="0"/>
              <w:right w:val="single" w:color="000000" w:sz="4"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黑体" w:hAnsi="黑体" w:eastAsia="黑体" w:cs="方正黑体简体"/>
                <w:color w:val="000000"/>
                <w:kern w:val="0"/>
                <w:sz w:val="21"/>
                <w:szCs w:val="21"/>
                <w:lang w:val="zh-CN"/>
              </w:rPr>
            </w:pPr>
            <w:r>
              <w:rPr>
                <w:rFonts w:hint="eastAsia" w:ascii="黑体" w:hAnsi="黑体" w:eastAsia="黑体" w:cs="方正黑体简体"/>
                <w:color w:val="000000"/>
                <w:kern w:val="0"/>
                <w:sz w:val="21"/>
                <w:szCs w:val="21"/>
                <w:lang w:val="zh-CN"/>
              </w:rPr>
              <w:t>考评依据</w:t>
            </w:r>
          </w:p>
        </w:tc>
        <w:tc>
          <w:tcPr>
            <w:tcW w:w="643" w:type="dxa"/>
            <w:tcBorders>
              <w:top w:val="single" w:color="000000" w:sz="4" w:space="0"/>
              <w:left w:val="single" w:color="000000" w:sz="4" w:space="0"/>
              <w:bottom w:val="single" w:color="000000" w:sz="4" w:space="0"/>
              <w:right w:val="single" w:color="000000" w:sz="4" w:space="0"/>
            </w:tcBorders>
            <w:tcMar>
              <w:top w:w="113" w:type="dxa"/>
              <w:left w:w="0" w:type="dxa"/>
              <w:bottom w:w="113" w:type="dxa"/>
              <w:right w:w="0" w:type="dxa"/>
            </w:tcMar>
            <w:vAlign w:val="center"/>
          </w:tcPr>
          <w:p>
            <w:pPr>
              <w:autoSpaceDE w:val="0"/>
              <w:autoSpaceDN w:val="0"/>
              <w:adjustRightInd w:val="0"/>
              <w:spacing w:line="240" w:lineRule="exact"/>
              <w:jc w:val="center"/>
              <w:textAlignment w:val="center"/>
              <w:rPr>
                <w:rFonts w:hint="eastAsia" w:ascii="黑体" w:hAnsi="黑体" w:eastAsia="黑体" w:cs="方正黑体简体"/>
                <w:color w:val="000000"/>
                <w:kern w:val="0"/>
                <w:sz w:val="21"/>
                <w:szCs w:val="21"/>
                <w:lang w:val="zh-CN"/>
              </w:rPr>
            </w:pPr>
            <w:r>
              <w:rPr>
                <w:rFonts w:hint="eastAsia" w:ascii="黑体" w:hAnsi="黑体" w:eastAsia="黑体" w:cs="方正黑体简体"/>
                <w:color w:val="000000"/>
                <w:kern w:val="0"/>
                <w:sz w:val="21"/>
                <w:szCs w:val="21"/>
                <w:lang w:val="zh-CN"/>
              </w:rPr>
              <w:t>分值</w:t>
            </w:r>
          </w:p>
        </w:tc>
      </w:tr>
      <w:tr>
        <w:tblPrEx>
          <w:tblLayout w:type="fixed"/>
          <w:tblCellMar>
            <w:top w:w="0" w:type="dxa"/>
            <w:left w:w="0" w:type="dxa"/>
            <w:bottom w:w="0" w:type="dxa"/>
            <w:right w:w="0" w:type="dxa"/>
          </w:tblCellMar>
        </w:tblPrEx>
        <w:trPr>
          <w:trHeight w:val="20" w:hRule="atLeast"/>
        </w:trPr>
        <w:tc>
          <w:tcPr>
            <w:tcW w:w="672"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w:t>
            </w:r>
          </w:p>
        </w:tc>
        <w:tc>
          <w:tcPr>
            <w:tcW w:w="7132" w:type="dxa"/>
            <w:tcBorders>
              <w:top w:val="single" w:color="000000" w:sz="4" w:space="0"/>
              <w:left w:val="single" w:color="000000" w:sz="4" w:space="0"/>
              <w:bottom w:val="single" w:color="000000" w:sz="4" w:space="0"/>
              <w:right w:val="single" w:color="000000" w:sz="4" w:space="0"/>
            </w:tcBorders>
            <w:tcMar>
              <w:top w:w="221" w:type="dxa"/>
              <w:left w:w="108" w:type="dxa"/>
              <w:bottom w:w="221" w:type="dxa"/>
              <w:right w:w="108" w:type="dxa"/>
            </w:tcMar>
            <w:vAlign w:val="center"/>
          </w:tcPr>
          <w:p>
            <w:pPr>
              <w:autoSpaceDE w:val="0"/>
              <w:autoSpaceDN w:val="0"/>
              <w:adjustRightInd w:val="0"/>
              <w:spacing w:line="240" w:lineRule="exact"/>
              <w:jc w:val="lef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在马克思主义、社会主义核心价值观、优秀传统文化等方面的学术研究、宣传取得国家和市级成果。决策咨询成果得到中央、国家部委和市级领导的批示，被相关部门采用。</w:t>
            </w:r>
          </w:p>
        </w:tc>
        <w:tc>
          <w:tcPr>
            <w:tcW w:w="2336"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听取汇报、审核材料</w:t>
            </w:r>
          </w:p>
        </w:tc>
        <w:tc>
          <w:tcPr>
            <w:tcW w:w="643"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w:t>
            </w:r>
          </w:p>
        </w:tc>
      </w:tr>
      <w:tr>
        <w:tblPrEx>
          <w:tblLayout w:type="fixed"/>
          <w:tblCellMar>
            <w:top w:w="0" w:type="dxa"/>
            <w:left w:w="0" w:type="dxa"/>
            <w:bottom w:w="0" w:type="dxa"/>
            <w:right w:w="0" w:type="dxa"/>
          </w:tblCellMar>
        </w:tblPrEx>
        <w:trPr>
          <w:trHeight w:val="20" w:hRule="atLeast"/>
        </w:trPr>
        <w:tc>
          <w:tcPr>
            <w:tcW w:w="672"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2</w:t>
            </w:r>
          </w:p>
        </w:tc>
        <w:tc>
          <w:tcPr>
            <w:tcW w:w="7132" w:type="dxa"/>
            <w:tcBorders>
              <w:top w:val="single" w:color="000000" w:sz="4" w:space="0"/>
              <w:left w:val="single" w:color="000000" w:sz="4" w:space="0"/>
              <w:bottom w:val="single" w:color="000000" w:sz="4" w:space="0"/>
              <w:right w:val="single" w:color="000000" w:sz="4" w:space="0"/>
            </w:tcBorders>
            <w:tcMar>
              <w:top w:w="221" w:type="dxa"/>
              <w:left w:w="108" w:type="dxa"/>
              <w:bottom w:w="221" w:type="dxa"/>
              <w:right w:w="108" w:type="dxa"/>
            </w:tcMar>
            <w:vAlign w:val="center"/>
          </w:tcPr>
          <w:p>
            <w:pPr>
              <w:autoSpaceDE w:val="0"/>
              <w:autoSpaceDN w:val="0"/>
              <w:adjustRightInd w:val="0"/>
              <w:spacing w:line="240" w:lineRule="exact"/>
              <w:jc w:val="lef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有社会影响广泛或受市级及以上表彰的好人好事。在宣传思想工作、党建、教育改革等方面的成绩、经验在国家和市级主要媒体刊登，并产生广泛影响。</w:t>
            </w:r>
          </w:p>
        </w:tc>
        <w:tc>
          <w:tcPr>
            <w:tcW w:w="2336"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听取汇报、审核材料</w:t>
            </w:r>
          </w:p>
        </w:tc>
        <w:tc>
          <w:tcPr>
            <w:tcW w:w="643"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w:t>
            </w:r>
          </w:p>
        </w:tc>
      </w:tr>
      <w:tr>
        <w:tblPrEx>
          <w:tblLayout w:type="fixed"/>
          <w:tblCellMar>
            <w:top w:w="0" w:type="dxa"/>
            <w:left w:w="0" w:type="dxa"/>
            <w:bottom w:w="0" w:type="dxa"/>
            <w:right w:w="0" w:type="dxa"/>
          </w:tblCellMar>
        </w:tblPrEx>
        <w:trPr>
          <w:trHeight w:val="20" w:hRule="atLeast"/>
        </w:trPr>
        <w:tc>
          <w:tcPr>
            <w:tcW w:w="672"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3</w:t>
            </w:r>
          </w:p>
        </w:tc>
        <w:tc>
          <w:tcPr>
            <w:tcW w:w="7132" w:type="dxa"/>
            <w:tcBorders>
              <w:top w:val="single" w:color="000000" w:sz="4" w:space="0"/>
              <w:left w:val="single" w:color="000000" w:sz="4" w:space="0"/>
              <w:bottom w:val="single" w:color="000000" w:sz="4" w:space="0"/>
              <w:right w:val="single" w:color="000000" w:sz="4" w:space="0"/>
            </w:tcBorders>
            <w:tcMar>
              <w:top w:w="221" w:type="dxa"/>
              <w:left w:w="108" w:type="dxa"/>
              <w:bottom w:w="221" w:type="dxa"/>
              <w:right w:w="108" w:type="dxa"/>
            </w:tcMar>
            <w:vAlign w:val="center"/>
          </w:tcPr>
          <w:p>
            <w:pPr>
              <w:autoSpaceDE w:val="0"/>
              <w:autoSpaceDN w:val="0"/>
              <w:adjustRightInd w:val="0"/>
              <w:spacing w:line="240" w:lineRule="exact"/>
              <w:jc w:val="lef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在国际、国家和上海重大活动、突发事件处置中做出重要贡献。</w:t>
            </w:r>
          </w:p>
        </w:tc>
        <w:tc>
          <w:tcPr>
            <w:tcW w:w="2336"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听取汇报、审核材料</w:t>
            </w:r>
          </w:p>
        </w:tc>
        <w:tc>
          <w:tcPr>
            <w:tcW w:w="643"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w:t>
            </w:r>
          </w:p>
        </w:tc>
      </w:tr>
      <w:tr>
        <w:tblPrEx>
          <w:tblLayout w:type="fixed"/>
          <w:tblCellMar>
            <w:top w:w="0" w:type="dxa"/>
            <w:left w:w="0" w:type="dxa"/>
            <w:bottom w:w="0" w:type="dxa"/>
            <w:right w:w="0" w:type="dxa"/>
          </w:tblCellMar>
        </w:tblPrEx>
        <w:trPr>
          <w:trHeight w:val="20" w:hRule="atLeast"/>
        </w:trPr>
        <w:tc>
          <w:tcPr>
            <w:tcW w:w="672"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w:t>
            </w:r>
          </w:p>
        </w:tc>
        <w:tc>
          <w:tcPr>
            <w:tcW w:w="7132" w:type="dxa"/>
            <w:tcBorders>
              <w:top w:val="single" w:color="000000" w:sz="4" w:space="0"/>
              <w:left w:val="single" w:color="000000" w:sz="4" w:space="0"/>
              <w:bottom w:val="single" w:color="000000" w:sz="4" w:space="0"/>
              <w:right w:val="single" w:color="000000" w:sz="4" w:space="0"/>
            </w:tcBorders>
            <w:tcMar>
              <w:top w:w="221" w:type="dxa"/>
              <w:left w:w="108" w:type="dxa"/>
              <w:bottom w:w="221" w:type="dxa"/>
              <w:right w:w="108" w:type="dxa"/>
            </w:tcMar>
            <w:vAlign w:val="center"/>
          </w:tcPr>
          <w:p>
            <w:pPr>
              <w:autoSpaceDE w:val="0"/>
              <w:autoSpaceDN w:val="0"/>
              <w:adjustRightInd w:val="0"/>
              <w:spacing w:line="240" w:lineRule="exact"/>
              <w:jc w:val="lef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承担对口支援任务，积极参与西部开发，工作成效显著。</w:t>
            </w:r>
          </w:p>
        </w:tc>
        <w:tc>
          <w:tcPr>
            <w:tcW w:w="2336"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听取汇报、审核材料</w:t>
            </w:r>
          </w:p>
        </w:tc>
        <w:tc>
          <w:tcPr>
            <w:tcW w:w="643"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w:t>
            </w:r>
          </w:p>
        </w:tc>
      </w:tr>
      <w:tr>
        <w:tblPrEx>
          <w:tblLayout w:type="fixed"/>
          <w:tblCellMar>
            <w:top w:w="0" w:type="dxa"/>
            <w:left w:w="0" w:type="dxa"/>
            <w:bottom w:w="0" w:type="dxa"/>
            <w:right w:w="0" w:type="dxa"/>
          </w:tblCellMar>
        </w:tblPrEx>
        <w:trPr>
          <w:trHeight w:val="20" w:hRule="atLeast"/>
        </w:trPr>
        <w:tc>
          <w:tcPr>
            <w:tcW w:w="672"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5</w:t>
            </w:r>
          </w:p>
        </w:tc>
        <w:tc>
          <w:tcPr>
            <w:tcW w:w="7132" w:type="dxa"/>
            <w:tcBorders>
              <w:top w:val="single" w:color="000000" w:sz="4" w:space="0"/>
              <w:left w:val="single" w:color="000000" w:sz="4" w:space="0"/>
              <w:bottom w:val="single" w:color="000000" w:sz="4" w:space="0"/>
              <w:right w:val="single" w:color="000000" w:sz="4" w:space="0"/>
            </w:tcBorders>
            <w:tcMar>
              <w:top w:w="221" w:type="dxa"/>
              <w:left w:w="108" w:type="dxa"/>
              <w:bottom w:w="221" w:type="dxa"/>
              <w:right w:w="108" w:type="dxa"/>
            </w:tcMar>
            <w:vAlign w:val="center"/>
          </w:tcPr>
          <w:p>
            <w:pPr>
              <w:autoSpaceDE w:val="0"/>
              <w:autoSpaceDN w:val="0"/>
              <w:adjustRightInd w:val="0"/>
              <w:spacing w:line="240" w:lineRule="exact"/>
              <w:jc w:val="lef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获“上海市高校心理健康示范中心”、“上海市安全文明校园”等国家和市级荣誉、奖项。</w:t>
            </w:r>
          </w:p>
        </w:tc>
        <w:tc>
          <w:tcPr>
            <w:tcW w:w="2336"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听取汇报、审核材料</w:t>
            </w:r>
          </w:p>
        </w:tc>
        <w:tc>
          <w:tcPr>
            <w:tcW w:w="643"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w:t>
            </w:r>
          </w:p>
        </w:tc>
      </w:tr>
      <w:tr>
        <w:tblPrEx>
          <w:tblLayout w:type="fixed"/>
          <w:tblCellMar>
            <w:top w:w="0" w:type="dxa"/>
            <w:left w:w="0" w:type="dxa"/>
            <w:bottom w:w="0" w:type="dxa"/>
            <w:right w:w="0" w:type="dxa"/>
          </w:tblCellMar>
        </w:tblPrEx>
        <w:trPr>
          <w:trHeight w:val="20" w:hRule="atLeast"/>
        </w:trPr>
        <w:tc>
          <w:tcPr>
            <w:tcW w:w="672"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6</w:t>
            </w:r>
          </w:p>
        </w:tc>
        <w:tc>
          <w:tcPr>
            <w:tcW w:w="7132" w:type="dxa"/>
            <w:tcBorders>
              <w:top w:val="single" w:color="000000" w:sz="4" w:space="0"/>
              <w:left w:val="single" w:color="000000" w:sz="4" w:space="0"/>
              <w:bottom w:val="single" w:color="000000" w:sz="4" w:space="0"/>
              <w:right w:val="single" w:color="000000" w:sz="4" w:space="0"/>
            </w:tcBorders>
            <w:tcMar>
              <w:top w:w="221" w:type="dxa"/>
              <w:left w:w="108" w:type="dxa"/>
              <w:bottom w:w="221" w:type="dxa"/>
              <w:right w:w="108" w:type="dxa"/>
            </w:tcMar>
            <w:vAlign w:val="center"/>
          </w:tcPr>
          <w:p>
            <w:pPr>
              <w:autoSpaceDE w:val="0"/>
              <w:autoSpaceDN w:val="0"/>
              <w:adjustRightInd w:val="0"/>
              <w:spacing w:line="240" w:lineRule="exact"/>
              <w:jc w:val="lef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按时提交年度社会责任报告，评为B级以上。</w:t>
            </w:r>
          </w:p>
        </w:tc>
        <w:tc>
          <w:tcPr>
            <w:tcW w:w="2336"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tc>
        <w:tc>
          <w:tcPr>
            <w:tcW w:w="643"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1</w:t>
            </w:r>
          </w:p>
        </w:tc>
      </w:tr>
      <w:tr>
        <w:tblPrEx>
          <w:tblLayout w:type="fixed"/>
          <w:tblCellMar>
            <w:top w:w="0" w:type="dxa"/>
            <w:left w:w="0" w:type="dxa"/>
            <w:bottom w:w="0" w:type="dxa"/>
            <w:right w:w="0" w:type="dxa"/>
          </w:tblCellMar>
        </w:tblPrEx>
        <w:trPr>
          <w:trHeight w:val="20" w:hRule="atLeast"/>
        </w:trPr>
        <w:tc>
          <w:tcPr>
            <w:tcW w:w="672"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7</w:t>
            </w:r>
          </w:p>
        </w:tc>
        <w:tc>
          <w:tcPr>
            <w:tcW w:w="7132" w:type="dxa"/>
            <w:tcBorders>
              <w:top w:val="single" w:color="000000" w:sz="4" w:space="0"/>
              <w:left w:val="single" w:color="000000" w:sz="4" w:space="0"/>
              <w:bottom w:val="single" w:color="000000" w:sz="4" w:space="0"/>
              <w:right w:val="single" w:color="000000" w:sz="4" w:space="0"/>
            </w:tcBorders>
            <w:tcMar>
              <w:top w:w="221" w:type="dxa"/>
              <w:left w:w="108" w:type="dxa"/>
              <w:bottom w:w="221" w:type="dxa"/>
              <w:right w:w="108"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学校自设文明创建特色项目并取得标志性成果。</w:t>
            </w:r>
          </w:p>
        </w:tc>
        <w:tc>
          <w:tcPr>
            <w:tcW w:w="2336"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审核材料</w:t>
            </w:r>
          </w:p>
        </w:tc>
        <w:tc>
          <w:tcPr>
            <w:tcW w:w="643" w:type="dxa"/>
            <w:tcBorders>
              <w:top w:val="single" w:color="000000" w:sz="4" w:space="0"/>
              <w:left w:val="single" w:color="000000" w:sz="4" w:space="0"/>
              <w:bottom w:val="single" w:color="000000" w:sz="4" w:space="0"/>
              <w:right w:val="single" w:color="000000" w:sz="4" w:space="0"/>
            </w:tcBorders>
            <w:tcMar>
              <w:top w:w="221" w:type="dxa"/>
              <w:left w:w="0" w:type="dxa"/>
              <w:bottom w:w="221" w:type="dxa"/>
              <w:right w:w="0" w:type="dxa"/>
            </w:tcMar>
            <w:vAlign w:val="center"/>
          </w:tcPr>
          <w:p>
            <w:pPr>
              <w:autoSpaceDE w:val="0"/>
              <w:autoSpaceDN w:val="0"/>
              <w:adjustRightInd w:val="0"/>
              <w:spacing w:line="240" w:lineRule="exact"/>
              <w:jc w:val="center"/>
              <w:textAlignment w:val="center"/>
              <w:rPr>
                <w:rFonts w:hint="eastAsia" w:ascii="楷体" w:hAnsi="楷体" w:eastAsia="楷体" w:cs="方正楷体简体"/>
                <w:color w:val="000000"/>
                <w:kern w:val="0"/>
                <w:sz w:val="21"/>
                <w:szCs w:val="21"/>
                <w:lang w:val="zh-CN"/>
              </w:rPr>
            </w:pPr>
            <w:r>
              <w:rPr>
                <w:rFonts w:hint="eastAsia" w:ascii="楷体" w:hAnsi="楷体" w:eastAsia="楷体" w:cs="方正楷体简体"/>
                <w:color w:val="000000"/>
                <w:kern w:val="0"/>
                <w:sz w:val="21"/>
                <w:szCs w:val="21"/>
                <w:lang w:val="zh-CN"/>
              </w:rPr>
              <w:t>4</w:t>
            </w:r>
          </w:p>
        </w:tc>
      </w:tr>
    </w:tbl>
    <w:p>
      <w:pPr>
        <w:autoSpaceDE w:val="0"/>
        <w:autoSpaceDN w:val="0"/>
        <w:adjustRightInd w:val="0"/>
        <w:spacing w:line="460" w:lineRule="exact"/>
        <w:ind w:firstLine="595"/>
        <w:jc w:val="right"/>
        <w:textAlignment w:val="center"/>
        <w:rPr>
          <w:rFonts w:ascii="楷体" w:hAnsi="楷体" w:eastAsia="楷体" w:cs="仿宋_GB2312"/>
          <w:color w:val="000000"/>
          <w:kern w:val="0"/>
          <w:sz w:val="28"/>
          <w:szCs w:val="28"/>
          <w:lang w:val="zh-CN"/>
        </w:rPr>
      </w:pPr>
    </w:p>
    <w:sectPr>
      <w:footerReference r:id="rId3" w:type="default"/>
      <w:pgSz w:w="13041" w:h="9639" w:orient="landscape"/>
      <w:pgMar w:top="1021" w:right="1134" w:bottom="1021" w:left="1134" w:header="851" w:footer="992" w:gutter="0"/>
      <w:pgBorders>
        <w:top w:val="none" w:color="auto" w:sz="0" w:space="0"/>
        <w:left w:val="none" w:color="auto" w:sz="0" w:space="0"/>
        <w:bottom w:val="none" w:color="auto" w:sz="0" w:space="0"/>
        <w:right w:val="none" w:color="auto" w:sz="0" w:space="0"/>
      </w:pgBorders>
      <w:pgNumType w:fmt="numberInDash" w:start="0" w:chapSep="enDash"/>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10002FF" w:usb1="4000ACFF" w:usb2="00000009"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10002FF" w:usb1="4000ACFF" w:usb2="00000009"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方正大标宋简体">
    <w:altName w:val="微软雅黑"/>
    <w:panose1 w:val="00000000000000000000"/>
    <w:charset w:val="86"/>
    <w:family w:val="auto"/>
    <w:pitch w:val="default"/>
    <w:sig w:usb0="00000000" w:usb1="00000000" w:usb2="00000010" w:usb3="00000000" w:csb0="00040000" w:csb1="00000000"/>
  </w:font>
  <w:font w:name="Adobe 宋体 Std L">
    <w:altName w:val="宋体"/>
    <w:panose1 w:val="00000000000000000000"/>
    <w:charset w:val="86"/>
    <w:family w:val="roman"/>
    <w:pitch w:val="default"/>
    <w:sig w:usb0="00000000" w:usb1="00000000" w:usb2="00000016" w:usb3="00000000" w:csb0="00060007" w:csb1="00000000"/>
  </w:font>
  <w:font w:name="方正黑体简体">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80F3C52" w:usb2="00000016" w:usb3="00000000" w:csb0="0004001F" w:csb1="00000000"/>
  </w:font>
  <w:font w:name="方正楷体简体">
    <w:altName w:val="宋体"/>
    <w:panose1 w:val="00000000000000000000"/>
    <w:charset w:val="86"/>
    <w:family w:val="auto"/>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黑体">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仿宋">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黑体">
    <w:panose1 w:val="02010609060101010101"/>
    <w:charset w:val="86"/>
    <w:family w:val="swiss"/>
    <w:pitch w:val="default"/>
    <w:sig w:usb0="800002BF" w:usb1="38CF7CFA" w:usb2="00000016" w:usb3="00000000" w:csb0="00040001" w:csb1="00000000"/>
  </w:font>
  <w:font w:name="仿宋_GB2312">
    <w:altName w:val="仿宋"/>
    <w:panose1 w:val="00000000000000000000"/>
    <w:charset w:val="86"/>
    <w:family w:val="swiss"/>
    <w:pitch w:val="default"/>
    <w:sig w:usb0="00000000" w:usb1="00000000" w:usb2="00000010" w:usb3="00000000" w:csb0="00040000" w:csb1="00000000"/>
  </w:font>
  <w:font w:name="仿宋">
    <w:panose1 w:val="02010609060101010101"/>
    <w:charset w:val="86"/>
    <w:family w:val="swiss"/>
    <w:pitch w:val="default"/>
    <w:sig w:usb0="800002BF" w:usb1="38CF7CFA" w:usb2="00000016" w:usb3="00000000" w:csb0="00040001" w:csb1="00000000"/>
  </w:font>
  <w:font w:name="Adobe 宋体 Std L">
    <w:altName w:val="宋体"/>
    <w:panose1 w:val="00000000000000000000"/>
    <w:charset w:val="86"/>
    <w:family w:val="modern"/>
    <w:pitch w:val="default"/>
    <w:sig w:usb0="00000000" w:usb1="00000000" w:usb2="00000016" w:usb3="00000000" w:csb0="00060007" w:csb1="00000000"/>
  </w:font>
  <w:font w:name="微软雅黑">
    <w:panose1 w:val="020B0503020204020204"/>
    <w:charset w:val="86"/>
    <w:family w:val="decorative"/>
    <w:pitch w:val="default"/>
    <w:sig w:usb0="80000287" w:usb1="280F3C52" w:usb2="00000016" w:usb3="00000000" w:csb0="0004001F" w:csb1="00000000"/>
  </w:font>
  <w:font w:name="仿宋_GB2312">
    <w:altName w:val="仿宋"/>
    <w:panose1 w:val="02010609030101010101"/>
    <w:charset w:val="86"/>
    <w:family w:val="swiss"/>
    <w:pitch w:val="default"/>
    <w:sig w:usb0="00000000" w:usb1="00000000" w:usb2="00000010" w:usb3="00000000" w:csb0="00040000" w:csb1="00000000"/>
  </w:font>
  <w:font w:name="楷体">
    <w:panose1 w:val="02010609060101010101"/>
    <w:charset w:val="86"/>
    <w:family w:val="swiss"/>
    <w:pitch w:val="default"/>
    <w:sig w:usb0="800002BF" w:usb1="38CF7CFA" w:usb2="00000016" w:usb3="00000000" w:csb0="00040001" w:csb1="00000000"/>
  </w:font>
  <w:font w:name="黑体">
    <w:panose1 w:val="02010609060101010101"/>
    <w:charset w:val="86"/>
    <w:family w:val="decorative"/>
    <w:pitch w:val="default"/>
    <w:sig w:usb0="800002BF" w:usb1="38CF7CFA" w:usb2="00000016" w:usb3="00000000" w:csb0="00040001" w:csb1="00000000"/>
  </w:font>
  <w:font w:name="仿宋_GB2312">
    <w:altName w:val="仿宋"/>
    <w:panose1 w:val="00000000000000000000"/>
    <w:charset w:val="86"/>
    <w:family w:val="decorative"/>
    <w:pitch w:val="default"/>
    <w:sig w:usb0="00000000" w:usb1="00000000" w:usb2="00000010" w:usb3="00000000" w:csb0="00040000" w:csb1="00000000"/>
  </w:font>
  <w:font w:name="仿宋">
    <w:panose1 w:val="02010609060101010101"/>
    <w:charset w:val="86"/>
    <w:family w:val="decorative"/>
    <w:pitch w:val="default"/>
    <w:sig w:usb0="800002BF" w:usb1="38CF7CFA" w:usb2="00000016" w:usb3="00000000" w:csb0="00040001" w:csb1="00000000"/>
  </w:font>
  <w:font w:name="Adobe 宋体 Std L">
    <w:altName w:val="宋体"/>
    <w:panose1 w:val="00000000000000000000"/>
    <w:charset w:val="86"/>
    <w:family w:val="swiss"/>
    <w:pitch w:val="default"/>
    <w:sig w:usb0="00000000" w:usb1="00000000" w:usb2="00000016" w:usb3="00000000" w:csb0="00060007" w:csb1="00000000"/>
  </w:font>
  <w:font w:name="微软雅黑">
    <w:panose1 w:val="020B0503020204020204"/>
    <w:charset w:val="86"/>
    <w:family w:val="roman"/>
    <w:pitch w:val="default"/>
    <w:sig w:usb0="80000287" w:usb1="280F3C52" w:usb2="00000016" w:usb3="00000000" w:csb0="0004001F" w:csb1="00000000"/>
  </w:font>
  <w:font w:name="仿宋_GB2312">
    <w:altName w:val="仿宋"/>
    <w:panose1 w:val="02010609030101010101"/>
    <w:charset w:val="86"/>
    <w:family w:val="decorative"/>
    <w:pitch w:val="default"/>
    <w:sig w:usb0="00000000" w:usb1="00000000" w:usb2="00000010" w:usb3="00000000" w:csb0="00040000" w:csb1="00000000"/>
  </w:font>
  <w:font w:name="楷体">
    <w:panose1 w:val="02010609060101010101"/>
    <w:charset w:val="86"/>
    <w:family w:val="decorative"/>
    <w:pitch w:val="default"/>
    <w:sig w:usb0="800002BF" w:usb1="38CF7CFA" w:usb2="00000016" w:usb3="00000000" w:csb0="00040001" w:csb1="00000000"/>
  </w:font>
  <w:font w:name="黑体">
    <w:panose1 w:val="02010609060101010101"/>
    <w:charset w:val="86"/>
    <w:family w:val="roman"/>
    <w:pitch w:val="default"/>
    <w:sig w:usb0="800002BF" w:usb1="38CF7CFA" w:usb2="00000016" w:usb3="00000000" w:csb0="00040001" w:csb1="00000000"/>
  </w:font>
  <w:font w:name="仿宋_GB2312">
    <w:altName w:val="仿宋"/>
    <w:panose1 w:val="00000000000000000000"/>
    <w:charset w:val="86"/>
    <w:family w:val="roman"/>
    <w:pitch w:val="default"/>
    <w:sig w:usb0="00000000" w:usb1="00000000" w:usb2="00000010" w:usb3="00000000" w:csb0="00040000" w:csb1="00000000"/>
  </w:font>
  <w:font w:name="仿宋">
    <w:panose1 w:val="02010609060101010101"/>
    <w:charset w:val="86"/>
    <w:family w:val="roman"/>
    <w:pitch w:val="default"/>
    <w:sig w:usb0="800002BF" w:usb1="38CF7CFA" w:usb2="00000016" w:usb3="00000000" w:csb0="00040001" w:csb1="00000000"/>
  </w:font>
  <w:font w:name="Adobe 宋体 Std L">
    <w:altName w:val="宋体"/>
    <w:panose1 w:val="00000000000000000000"/>
    <w:charset w:val="86"/>
    <w:family w:val="decorative"/>
    <w:pitch w:val="default"/>
    <w:sig w:usb0="00000000" w:usb1="00000000" w:usb2="00000016" w:usb3="00000000" w:csb0="00060007" w:csb1="00000000"/>
  </w:font>
  <w:font w:name="微软雅黑">
    <w:panose1 w:val="020B0503020204020204"/>
    <w:charset w:val="86"/>
    <w:family w:val="modern"/>
    <w:pitch w:val="default"/>
    <w:sig w:usb0="80000287" w:usb1="280F3C52" w:usb2="00000016" w:usb3="00000000" w:csb0="0004001F" w:csb1="00000000"/>
  </w:font>
  <w:font w:name="仿宋_GB2312">
    <w:altName w:val="仿宋"/>
    <w:panose1 w:val="02010609030101010101"/>
    <w:charset w:val="86"/>
    <w:family w:val="roman"/>
    <w:pitch w:val="default"/>
    <w:sig w:usb0="00000000" w:usb1="00000000" w:usb2="00000010" w:usb3="00000000" w:csb0="00040000" w:csb1="00000000"/>
  </w:font>
  <w:font w:name="楷体">
    <w:panose1 w:val="02010609060101010101"/>
    <w:charset w:val="86"/>
    <w:family w:val="roman"/>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516699"/>
    </w:sdtPr>
    <w:sdtContent>
      <w:p>
        <w:pPr>
          <w:pStyle w:val="3"/>
          <w:jc w:val="center"/>
        </w:pPr>
        <w:r>
          <w:fldChar w:fldCharType="begin"/>
        </w:r>
        <w:r>
          <w:instrText xml:space="preserve"> PAGE   \* MERGEFORMAT </w:instrText>
        </w:r>
        <w:r>
          <w:fldChar w:fldCharType="separate"/>
        </w:r>
        <w:r>
          <w:t>- 1 -</w:t>
        </w:r>
        <w:r>
          <w:fldChar w:fldCharType="end"/>
        </w:r>
      </w:p>
    </w:sdtContent>
  </w:sdt>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74FE"/>
    <w:rsid w:val="000A7EA1"/>
    <w:rsid w:val="000F7D77"/>
    <w:rsid w:val="001202E1"/>
    <w:rsid w:val="001B5757"/>
    <w:rsid w:val="001E229A"/>
    <w:rsid w:val="002C2ABD"/>
    <w:rsid w:val="002E74FE"/>
    <w:rsid w:val="003822DA"/>
    <w:rsid w:val="00387EAE"/>
    <w:rsid w:val="0054359C"/>
    <w:rsid w:val="00565502"/>
    <w:rsid w:val="00571C39"/>
    <w:rsid w:val="0058261B"/>
    <w:rsid w:val="00613D67"/>
    <w:rsid w:val="006418FF"/>
    <w:rsid w:val="0068735E"/>
    <w:rsid w:val="006E2C2E"/>
    <w:rsid w:val="0075117F"/>
    <w:rsid w:val="007B5A4C"/>
    <w:rsid w:val="007D6948"/>
    <w:rsid w:val="007F723A"/>
    <w:rsid w:val="008D0CFB"/>
    <w:rsid w:val="0094230E"/>
    <w:rsid w:val="00A90503"/>
    <w:rsid w:val="00AD2C75"/>
    <w:rsid w:val="00B607D1"/>
    <w:rsid w:val="00B85CC0"/>
    <w:rsid w:val="00C87B2A"/>
    <w:rsid w:val="00CD6525"/>
    <w:rsid w:val="00D26A63"/>
    <w:rsid w:val="00D915A9"/>
    <w:rsid w:val="00DB5096"/>
    <w:rsid w:val="00E168DF"/>
    <w:rsid w:val="00E33FD7"/>
    <w:rsid w:val="00E46B13"/>
    <w:rsid w:val="00EB1359"/>
    <w:rsid w:val="00F37A62"/>
    <w:rsid w:val="089657F4"/>
    <w:rsid w:val="1B1C0821"/>
    <w:rsid w:val="1D024523"/>
    <w:rsid w:val="27576875"/>
    <w:rsid w:val="4C847666"/>
    <w:rsid w:val="50A12EBF"/>
    <w:rsid w:val="5D826F88"/>
    <w:rsid w:val="66A76D07"/>
    <w:rsid w:val="71D2195C"/>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Date"/>
    <w:basedOn w:val="1"/>
    <w:next w:val="1"/>
    <w:link w:val="18"/>
    <w:unhideWhenUsed/>
    <w:qFormat/>
    <w:uiPriority w:val="99"/>
    <w:pPr>
      <w:ind w:left="100" w:leftChars="2500"/>
    </w:pPr>
  </w:style>
  <w:style w:type="paragraph" w:styleId="3">
    <w:name w:val="footer"/>
    <w:basedOn w:val="1"/>
    <w:link w:val="20"/>
    <w:unhideWhenUsed/>
    <w:qFormat/>
    <w:uiPriority w:val="99"/>
    <w:pPr>
      <w:tabs>
        <w:tab w:val="center" w:pos="4153"/>
        <w:tab w:val="right" w:pos="8306"/>
      </w:tabs>
      <w:snapToGrid w:val="0"/>
      <w:jc w:val="left"/>
    </w:pPr>
    <w:rPr>
      <w:sz w:val="18"/>
      <w:szCs w:val="18"/>
    </w:rPr>
  </w:style>
  <w:style w:type="paragraph" w:styleId="4">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customStyle="1" w:styleId="7">
    <w:name w:val="大标题"/>
    <w:basedOn w:val="1"/>
    <w:qFormat/>
    <w:uiPriority w:val="99"/>
    <w:pPr>
      <w:autoSpaceDE w:val="0"/>
      <w:autoSpaceDN w:val="0"/>
      <w:adjustRightInd w:val="0"/>
      <w:spacing w:line="440" w:lineRule="atLeast"/>
      <w:jc w:val="center"/>
      <w:textAlignment w:val="center"/>
    </w:pPr>
    <w:rPr>
      <w:rFonts w:ascii="方正大标宋简体" w:eastAsia="方正大标宋简体" w:cs="方正大标宋简体"/>
      <w:color w:val="000000"/>
      <w:kern w:val="0"/>
      <w:sz w:val="36"/>
      <w:szCs w:val="36"/>
      <w:lang w:val="zh-CN"/>
    </w:rPr>
  </w:style>
  <w:style w:type="paragraph" w:customStyle="1" w:styleId="8">
    <w:name w:val="[无段落样式]"/>
    <w:qFormat/>
    <w:uiPriority w:val="0"/>
    <w:pPr>
      <w:widowControl w:val="0"/>
      <w:autoSpaceDE w:val="0"/>
      <w:autoSpaceDN w:val="0"/>
      <w:adjustRightInd w:val="0"/>
      <w:spacing w:line="288" w:lineRule="auto"/>
      <w:jc w:val="both"/>
      <w:textAlignment w:val="center"/>
    </w:pPr>
    <w:rPr>
      <w:rFonts w:ascii="Adobe 宋体 Std L" w:eastAsia="Adobe 宋体 Std L" w:cs="Adobe 宋体 Std L" w:hAnsiTheme="minorHAnsi"/>
      <w:color w:val="000000"/>
      <w:kern w:val="0"/>
      <w:sz w:val="24"/>
      <w:szCs w:val="24"/>
      <w:lang w:val="zh-CN" w:eastAsia="zh-CN" w:bidi="ar-SA"/>
    </w:rPr>
  </w:style>
  <w:style w:type="paragraph" w:customStyle="1" w:styleId="9">
    <w:name w:val="一级标题"/>
    <w:basedOn w:val="8"/>
    <w:qFormat/>
    <w:uiPriority w:val="99"/>
    <w:pPr>
      <w:spacing w:line="500" w:lineRule="atLeast"/>
    </w:pPr>
    <w:rPr>
      <w:rFonts w:ascii="方正黑体简体" w:eastAsia="方正黑体简体" w:cs="方正黑体简体"/>
      <w:sz w:val="30"/>
      <w:szCs w:val="30"/>
    </w:rPr>
  </w:style>
  <w:style w:type="paragraph" w:customStyle="1" w:styleId="10">
    <w:name w:val="表名称"/>
    <w:basedOn w:val="8"/>
    <w:qFormat/>
    <w:uiPriority w:val="99"/>
    <w:pPr>
      <w:spacing w:after="170" w:line="300" w:lineRule="atLeast"/>
      <w:jc w:val="center"/>
    </w:pPr>
    <w:rPr>
      <w:rFonts w:ascii="方正黑体简体" w:eastAsia="方正黑体简体" w:cs="方正黑体简体"/>
      <w:sz w:val="28"/>
      <w:szCs w:val="28"/>
    </w:rPr>
  </w:style>
  <w:style w:type="paragraph" w:customStyle="1" w:styleId="11">
    <w:name w:val="表头"/>
    <w:basedOn w:val="8"/>
    <w:qFormat/>
    <w:uiPriority w:val="99"/>
    <w:pPr>
      <w:spacing w:line="300" w:lineRule="atLeast"/>
      <w:jc w:val="center"/>
    </w:pPr>
    <w:rPr>
      <w:rFonts w:ascii="方正黑体简体" w:eastAsia="方正黑体简体" w:cs="方正黑体简体"/>
    </w:rPr>
  </w:style>
  <w:style w:type="paragraph" w:customStyle="1" w:styleId="12">
    <w:name w:val="侧表"/>
    <w:basedOn w:val="8"/>
    <w:qFormat/>
    <w:uiPriority w:val="99"/>
    <w:pPr>
      <w:spacing w:line="280" w:lineRule="atLeast"/>
      <w:jc w:val="center"/>
    </w:pPr>
    <w:rPr>
      <w:rFonts w:ascii="微软雅黑" w:eastAsia="微软雅黑" w:cs="微软雅黑"/>
      <w:sz w:val="20"/>
      <w:szCs w:val="20"/>
    </w:rPr>
  </w:style>
  <w:style w:type="paragraph" w:customStyle="1" w:styleId="13">
    <w:name w:val="表文"/>
    <w:basedOn w:val="8"/>
    <w:qFormat/>
    <w:uiPriority w:val="99"/>
    <w:pPr>
      <w:spacing w:line="280" w:lineRule="atLeast"/>
    </w:pPr>
    <w:rPr>
      <w:rFonts w:ascii="方正楷体简体" w:eastAsia="方正楷体简体" w:cs="方正楷体简体"/>
      <w:sz w:val="23"/>
      <w:szCs w:val="23"/>
    </w:rPr>
  </w:style>
  <w:style w:type="paragraph" w:customStyle="1" w:styleId="14">
    <w:name w:val="居中表文"/>
    <w:basedOn w:val="13"/>
    <w:qFormat/>
    <w:uiPriority w:val="99"/>
    <w:pPr>
      <w:jc w:val="center"/>
    </w:pPr>
  </w:style>
  <w:style w:type="paragraph" w:customStyle="1" w:styleId="15">
    <w:name w:val="[基本段落]"/>
    <w:basedOn w:val="8"/>
    <w:qFormat/>
    <w:uiPriority w:val="99"/>
  </w:style>
  <w:style w:type="character" w:customStyle="1" w:styleId="16">
    <w:name w:val="加粗"/>
    <w:qFormat/>
    <w:uiPriority w:val="99"/>
  </w:style>
  <w:style w:type="paragraph" w:customStyle="1" w:styleId="17">
    <w:name w:val="段落样式1"/>
    <w:basedOn w:val="1"/>
    <w:qFormat/>
    <w:uiPriority w:val="99"/>
    <w:pPr>
      <w:autoSpaceDE w:val="0"/>
      <w:autoSpaceDN w:val="0"/>
      <w:adjustRightInd w:val="0"/>
      <w:spacing w:line="400" w:lineRule="atLeast"/>
      <w:jc w:val="right"/>
      <w:textAlignment w:val="center"/>
    </w:pPr>
    <w:rPr>
      <w:rFonts w:ascii="方正楷体简体" w:eastAsia="方正楷体简体" w:cs="方正楷体简体"/>
      <w:color w:val="000000"/>
      <w:kern w:val="0"/>
      <w:sz w:val="26"/>
      <w:szCs w:val="26"/>
      <w:lang w:val="zh-CN"/>
    </w:rPr>
  </w:style>
  <w:style w:type="character" w:customStyle="1" w:styleId="18">
    <w:name w:val="日期 Char"/>
    <w:basedOn w:val="5"/>
    <w:link w:val="2"/>
    <w:semiHidden/>
    <w:qFormat/>
    <w:uiPriority w:val="99"/>
  </w:style>
  <w:style w:type="character" w:customStyle="1" w:styleId="19">
    <w:name w:val="页眉 Char"/>
    <w:basedOn w:val="5"/>
    <w:link w:val="4"/>
    <w:semiHidden/>
    <w:qFormat/>
    <w:uiPriority w:val="99"/>
    <w:rPr>
      <w:sz w:val="18"/>
      <w:szCs w:val="18"/>
    </w:rPr>
  </w:style>
  <w:style w:type="character" w:customStyle="1" w:styleId="20">
    <w:name w:val="页脚 Char"/>
    <w:basedOn w:val="5"/>
    <w:link w:val="3"/>
    <w:qFormat/>
    <w:uiPriority w:val="99"/>
    <w:rPr>
      <w:sz w:val="18"/>
      <w:szCs w:val="18"/>
    </w:rPr>
  </w:style>
  <w:style w:type="paragraph" w:customStyle="1" w:styleId="2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5DDCCBD-6BF1-4DB2-A653-D39089CFF838}">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34</Pages>
  <Words>2251</Words>
  <Characters>12833</Characters>
  <Lines>106</Lines>
  <Paragraphs>30</Paragraphs>
  <ScaleCrop>false</ScaleCrop>
  <LinksUpToDate>false</LinksUpToDate>
  <CharactersWithSpaces>15054</CharactersWithSpaces>
  <Application>WPS Office_10.1.0.5329_F1E327BC-269C-435d-A152-05C5408002CA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2015-05-25T02:09:00Z</dcterms:created>
  <dc:creator>Sky123.Org</dc:creator>
  <cp:lastModifiedBy>Administrator</cp:lastModifiedBy>
  <cp:lastPrinted>2015-11-16T05:27:00Z</cp:lastPrinted>
  <dcterms:modified xsi:type="dcterms:W3CDTF">2015-11-26T06:30:11Z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2052-10.1.0.5329</vt:lpwstr>
  </property>
</Properties>
</file>